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713" w:rsidRPr="00F24E2A" w:rsidRDefault="006E3713" w:rsidP="006E3713">
      <w:pPr>
        <w:widowControl w:val="0"/>
        <w:spacing w:line="240" w:lineRule="auto"/>
        <w:ind w:left="5103"/>
        <w:contextualSpacing/>
        <w:jc w:val="left"/>
        <w:rPr>
          <w:rFonts w:eastAsia="Courier New"/>
          <w:color w:val="000000"/>
          <w:szCs w:val="28"/>
          <w:lang w:val="uk-UA" w:eastAsia="uk-UA"/>
        </w:rPr>
      </w:pPr>
      <w:r w:rsidRPr="008717F5">
        <w:rPr>
          <w:rFonts w:eastAsia="Courier New"/>
          <w:color w:val="000000"/>
          <w:szCs w:val="28"/>
          <w:shd w:val="clear" w:color="auto" w:fill="FFFFFF"/>
          <w:lang w:val="uk-UA" w:eastAsia="uk-UA"/>
        </w:rPr>
        <w:t xml:space="preserve">Додаток </w:t>
      </w:r>
      <w:r w:rsidRPr="00F24E2A">
        <w:rPr>
          <w:rFonts w:eastAsia="Courier New"/>
          <w:color w:val="000000"/>
          <w:szCs w:val="28"/>
          <w:shd w:val="clear" w:color="auto" w:fill="FFFFFF"/>
          <w:lang w:eastAsia="uk-UA"/>
        </w:rPr>
        <w:t>1</w:t>
      </w:r>
      <w:r w:rsidRPr="008717F5">
        <w:rPr>
          <w:rFonts w:eastAsia="Courier New"/>
          <w:color w:val="000000"/>
          <w:szCs w:val="28"/>
          <w:shd w:val="clear" w:color="auto" w:fill="FFFFFF"/>
          <w:lang w:val="uk-UA" w:eastAsia="uk-UA"/>
        </w:rPr>
        <w:br/>
      </w:r>
      <w:r w:rsidRPr="008717F5">
        <w:rPr>
          <w:rFonts w:eastAsia="Courier New"/>
          <w:color w:val="000000"/>
          <w:szCs w:val="28"/>
          <w:lang w:val="uk-UA" w:eastAsia="uk-UA"/>
        </w:rPr>
        <w:t xml:space="preserve">до </w:t>
      </w:r>
      <w:r>
        <w:rPr>
          <w:rFonts w:eastAsia="Courier New"/>
          <w:color w:val="000000"/>
          <w:szCs w:val="28"/>
          <w:lang w:val="uk-UA" w:eastAsia="uk-UA"/>
        </w:rPr>
        <w:t xml:space="preserve">Методики проведення перевірки загальних положень податкового та іншого законодавства України, контроль за дотриманням якого </w:t>
      </w:r>
      <w:r w:rsidRPr="00F24E2A">
        <w:rPr>
          <w:rFonts w:eastAsia="Courier New"/>
          <w:color w:val="000000"/>
          <w:szCs w:val="28"/>
          <w:lang w:val="uk-UA" w:eastAsia="uk-UA"/>
        </w:rPr>
        <w:t xml:space="preserve">покладено на податкові органи </w:t>
      </w:r>
    </w:p>
    <w:p w:rsidR="006E3713" w:rsidRPr="008717F5" w:rsidRDefault="006E3713" w:rsidP="006E3713">
      <w:pPr>
        <w:widowControl w:val="0"/>
        <w:spacing w:line="240" w:lineRule="auto"/>
        <w:ind w:left="5103"/>
        <w:contextualSpacing/>
        <w:jc w:val="left"/>
        <w:rPr>
          <w:rFonts w:eastAsia="Courier New"/>
          <w:color w:val="000000"/>
          <w:szCs w:val="28"/>
          <w:lang w:val="uk-UA" w:eastAsia="uk-UA"/>
        </w:rPr>
      </w:pPr>
      <w:r w:rsidRPr="00F24E2A">
        <w:rPr>
          <w:rFonts w:eastAsia="Courier New"/>
          <w:color w:val="000000"/>
          <w:szCs w:val="28"/>
          <w:lang w:val="uk-UA" w:eastAsia="uk-UA"/>
        </w:rPr>
        <w:t>(</w:t>
      </w:r>
      <w:r>
        <w:rPr>
          <w:rFonts w:eastAsia="Courier New"/>
          <w:color w:val="000000"/>
          <w:szCs w:val="28"/>
          <w:lang w:val="uk-UA" w:eastAsia="uk-UA"/>
        </w:rPr>
        <w:t xml:space="preserve">абзац п’ятий </w:t>
      </w:r>
      <w:r w:rsidRPr="006B0105">
        <w:rPr>
          <w:rFonts w:eastAsia="Courier New"/>
          <w:color w:val="000000"/>
          <w:szCs w:val="28"/>
          <w:lang w:val="uk-UA" w:eastAsia="uk-UA"/>
        </w:rPr>
        <w:t>пункт</w:t>
      </w:r>
      <w:r>
        <w:rPr>
          <w:rFonts w:eastAsia="Courier New"/>
          <w:color w:val="000000"/>
          <w:szCs w:val="28"/>
          <w:lang w:val="uk-UA" w:eastAsia="uk-UA"/>
        </w:rPr>
        <w:t>у</w:t>
      </w:r>
      <w:r w:rsidRPr="006B0105">
        <w:rPr>
          <w:rFonts w:eastAsia="Courier New"/>
          <w:color w:val="000000"/>
          <w:szCs w:val="28"/>
          <w:lang w:val="uk-UA" w:eastAsia="uk-UA"/>
        </w:rPr>
        <w:t xml:space="preserve"> </w:t>
      </w:r>
      <w:r>
        <w:rPr>
          <w:rFonts w:eastAsia="Courier New"/>
          <w:color w:val="000000"/>
          <w:szCs w:val="28"/>
          <w:lang w:val="uk-UA" w:eastAsia="uk-UA"/>
        </w:rPr>
        <w:t>4.1</w:t>
      </w:r>
      <w:r w:rsidRPr="006B0105">
        <w:rPr>
          <w:rFonts w:eastAsia="Courier New"/>
          <w:color w:val="000000"/>
          <w:szCs w:val="28"/>
          <w:lang w:val="uk-UA" w:eastAsia="uk-UA"/>
        </w:rPr>
        <w:t xml:space="preserve"> розділу </w:t>
      </w:r>
      <w:r w:rsidRPr="00FF7C81">
        <w:rPr>
          <w:rFonts w:eastAsia="Times New Roman"/>
          <w:szCs w:val="28"/>
          <w:lang w:val="en-US" w:eastAsia="ru-RU"/>
        </w:rPr>
        <w:t>IV</w:t>
      </w:r>
      <w:r w:rsidRPr="00F24E2A">
        <w:rPr>
          <w:rFonts w:eastAsia="Courier New"/>
          <w:color w:val="000000"/>
          <w:szCs w:val="28"/>
          <w:lang w:val="uk-UA" w:eastAsia="uk-UA"/>
        </w:rPr>
        <w:t>)</w:t>
      </w:r>
    </w:p>
    <w:p w:rsidR="006E3713" w:rsidRPr="009344BF" w:rsidRDefault="006E3713" w:rsidP="006E3713">
      <w:pPr>
        <w:spacing w:line="240" w:lineRule="auto"/>
        <w:ind w:firstLine="567"/>
        <w:jc w:val="center"/>
        <w:rPr>
          <w:rFonts w:eastAsia="Times New Roman"/>
          <w:b/>
          <w:szCs w:val="28"/>
          <w:lang w:val="uk-UA" w:eastAsia="ru-RU"/>
        </w:rPr>
      </w:pPr>
    </w:p>
    <w:p w:rsidR="006E3713" w:rsidRPr="00F24E2A" w:rsidRDefault="006E3713" w:rsidP="006E3713">
      <w:pPr>
        <w:spacing w:line="240" w:lineRule="auto"/>
        <w:ind w:firstLine="567"/>
        <w:jc w:val="center"/>
        <w:rPr>
          <w:rFonts w:eastAsia="Times New Roman"/>
          <w:i/>
          <w:szCs w:val="28"/>
          <w:lang w:eastAsia="ru-RU"/>
        </w:rPr>
      </w:pPr>
    </w:p>
    <w:p w:rsidR="006E3713" w:rsidRPr="004C27EC" w:rsidRDefault="006E3713" w:rsidP="006E3713">
      <w:pPr>
        <w:spacing w:line="240" w:lineRule="auto"/>
        <w:ind w:firstLine="567"/>
        <w:jc w:val="right"/>
        <w:rPr>
          <w:rFonts w:eastAsia="Times New Roman"/>
          <w:b/>
          <w:i/>
          <w:szCs w:val="28"/>
          <w:lang w:val="uk-UA" w:eastAsia="ru-RU"/>
        </w:rPr>
      </w:pPr>
      <w:r w:rsidRPr="004C27EC">
        <w:rPr>
          <w:rFonts w:eastAsia="Times New Roman"/>
          <w:b/>
          <w:i/>
          <w:szCs w:val="28"/>
          <w:lang w:val="uk-UA" w:eastAsia="ru-RU"/>
        </w:rPr>
        <w:t>Примірна форма</w:t>
      </w:r>
    </w:p>
    <w:p w:rsidR="006E3713" w:rsidRPr="004C27EC" w:rsidRDefault="006E3713" w:rsidP="006E3713">
      <w:pPr>
        <w:spacing w:line="240" w:lineRule="auto"/>
        <w:ind w:firstLine="567"/>
        <w:jc w:val="right"/>
        <w:rPr>
          <w:rFonts w:eastAsia="Times New Roman"/>
          <w:b/>
          <w:szCs w:val="28"/>
          <w:lang w:val="uk-UA" w:eastAsia="ru-RU"/>
        </w:rPr>
      </w:pPr>
    </w:p>
    <w:p w:rsidR="006E3713" w:rsidRPr="004C27EC" w:rsidRDefault="006E3713" w:rsidP="006E3713">
      <w:pPr>
        <w:spacing w:line="240" w:lineRule="auto"/>
        <w:ind w:firstLine="567"/>
        <w:jc w:val="center"/>
        <w:rPr>
          <w:rFonts w:eastAsia="Times New Roman"/>
          <w:szCs w:val="28"/>
          <w:lang w:val="uk-UA" w:eastAsia="ru-RU"/>
        </w:rPr>
      </w:pPr>
      <w:r w:rsidRPr="004C27EC">
        <w:rPr>
          <w:rFonts w:eastAsia="Times New Roman"/>
          <w:szCs w:val="28"/>
          <w:lang w:val="uk-UA" w:eastAsia="ru-RU"/>
        </w:rPr>
        <w:t xml:space="preserve">Звіт про результати автоматизованого аналізу </w:t>
      </w:r>
    </w:p>
    <w:p w:rsidR="006E3713" w:rsidRPr="004C27EC" w:rsidRDefault="006E3713" w:rsidP="006E3713">
      <w:pPr>
        <w:spacing w:line="240" w:lineRule="auto"/>
        <w:ind w:firstLine="567"/>
        <w:jc w:val="center"/>
        <w:rPr>
          <w:rFonts w:eastAsia="Times New Roman"/>
          <w:szCs w:val="28"/>
          <w:lang w:eastAsia="ru-RU"/>
        </w:rPr>
      </w:pPr>
    </w:p>
    <w:tbl>
      <w:tblPr>
        <w:tblStyle w:val="a3"/>
        <w:tblW w:w="10491" w:type="dxa"/>
        <w:tblInd w:w="-459" w:type="dxa"/>
        <w:tblLayout w:type="fixed"/>
        <w:tblLook w:val="04A0" w:firstRow="1" w:lastRow="0" w:firstColumn="1" w:lastColumn="0" w:noHBand="0" w:noVBand="1"/>
      </w:tblPr>
      <w:tblGrid>
        <w:gridCol w:w="817"/>
        <w:gridCol w:w="2977"/>
        <w:gridCol w:w="1735"/>
        <w:gridCol w:w="2268"/>
        <w:gridCol w:w="2694"/>
      </w:tblGrid>
      <w:tr w:rsidR="006E3713" w:rsidRPr="009344BF" w:rsidTr="006D18CC">
        <w:tc>
          <w:tcPr>
            <w:tcW w:w="817" w:type="dxa"/>
            <w:vAlign w:val="center"/>
          </w:tcPr>
          <w:p w:rsidR="006E3713" w:rsidRPr="009344BF" w:rsidRDefault="006E3713" w:rsidP="006D18CC">
            <w:pPr>
              <w:spacing w:line="240" w:lineRule="auto"/>
              <w:jc w:val="center"/>
              <w:rPr>
                <w:rFonts w:eastAsia="Times New Roman"/>
                <w:b/>
                <w:sz w:val="24"/>
                <w:szCs w:val="24"/>
                <w:lang w:eastAsia="ru-RU"/>
              </w:rPr>
            </w:pPr>
            <w:r w:rsidRPr="009344BF">
              <w:rPr>
                <w:rFonts w:eastAsia="Times New Roman"/>
                <w:b/>
                <w:sz w:val="24"/>
                <w:szCs w:val="24"/>
                <w:lang w:eastAsia="ru-RU"/>
              </w:rPr>
              <w:t>№ з/п</w:t>
            </w:r>
          </w:p>
        </w:tc>
        <w:tc>
          <w:tcPr>
            <w:tcW w:w="2977" w:type="dxa"/>
            <w:vAlign w:val="center"/>
          </w:tcPr>
          <w:p w:rsidR="006E3713" w:rsidRPr="009344BF" w:rsidRDefault="006E3713" w:rsidP="006D18CC">
            <w:pPr>
              <w:spacing w:line="240" w:lineRule="auto"/>
              <w:jc w:val="center"/>
              <w:rPr>
                <w:rFonts w:eastAsia="Times New Roman"/>
                <w:b/>
                <w:sz w:val="24"/>
                <w:szCs w:val="24"/>
                <w:lang w:eastAsia="ru-RU"/>
              </w:rPr>
            </w:pPr>
            <w:r w:rsidRPr="009344BF">
              <w:rPr>
                <w:rFonts w:eastAsia="Times New Roman"/>
                <w:b/>
                <w:sz w:val="24"/>
                <w:szCs w:val="24"/>
                <w:lang w:eastAsia="ru-RU"/>
              </w:rPr>
              <w:t>Розділ</w:t>
            </w:r>
          </w:p>
        </w:tc>
        <w:tc>
          <w:tcPr>
            <w:tcW w:w="1735" w:type="dxa"/>
            <w:vAlign w:val="center"/>
          </w:tcPr>
          <w:p w:rsidR="006E3713" w:rsidRPr="009344BF" w:rsidRDefault="006E3713" w:rsidP="006D18CC">
            <w:pPr>
              <w:spacing w:line="240" w:lineRule="auto"/>
              <w:jc w:val="center"/>
              <w:rPr>
                <w:rFonts w:eastAsia="Times New Roman"/>
                <w:b/>
                <w:sz w:val="24"/>
                <w:szCs w:val="24"/>
                <w:lang w:eastAsia="ru-RU"/>
              </w:rPr>
            </w:pPr>
            <w:r w:rsidRPr="009344BF">
              <w:rPr>
                <w:rFonts w:eastAsia="Times New Roman"/>
                <w:b/>
                <w:sz w:val="24"/>
                <w:szCs w:val="24"/>
                <w:lang w:eastAsia="ru-RU"/>
              </w:rPr>
              <w:t>Підрозділ</w:t>
            </w:r>
          </w:p>
        </w:tc>
        <w:tc>
          <w:tcPr>
            <w:tcW w:w="2268" w:type="dxa"/>
            <w:vAlign w:val="center"/>
          </w:tcPr>
          <w:p w:rsidR="006E3713" w:rsidRPr="009344BF" w:rsidRDefault="006E3713" w:rsidP="006D18CC">
            <w:pPr>
              <w:spacing w:line="240" w:lineRule="auto"/>
              <w:jc w:val="center"/>
              <w:rPr>
                <w:rFonts w:eastAsia="Times New Roman"/>
                <w:b/>
                <w:sz w:val="24"/>
                <w:szCs w:val="24"/>
                <w:lang w:eastAsia="ru-RU"/>
              </w:rPr>
            </w:pPr>
            <w:r w:rsidRPr="009344BF">
              <w:rPr>
                <w:rFonts w:eastAsia="Times New Roman"/>
                <w:b/>
                <w:sz w:val="24"/>
                <w:szCs w:val="24"/>
                <w:lang w:eastAsia="ru-RU"/>
              </w:rPr>
              <w:t>Наявність ризику (так/ні)</w:t>
            </w:r>
          </w:p>
        </w:tc>
        <w:tc>
          <w:tcPr>
            <w:tcW w:w="2694" w:type="dxa"/>
            <w:vAlign w:val="center"/>
          </w:tcPr>
          <w:p w:rsidR="006E3713" w:rsidRDefault="006E3713" w:rsidP="006D18CC">
            <w:pPr>
              <w:spacing w:line="240" w:lineRule="auto"/>
              <w:jc w:val="center"/>
              <w:rPr>
                <w:rFonts w:eastAsia="Times New Roman"/>
                <w:b/>
                <w:sz w:val="24"/>
                <w:szCs w:val="24"/>
                <w:lang w:eastAsia="ru-RU"/>
              </w:rPr>
            </w:pPr>
            <w:r w:rsidRPr="009344BF">
              <w:rPr>
                <w:rFonts w:eastAsia="Times New Roman"/>
                <w:b/>
                <w:sz w:val="24"/>
                <w:szCs w:val="24"/>
                <w:lang w:eastAsia="ru-RU"/>
              </w:rPr>
              <w:t>Підтвердження/</w:t>
            </w:r>
          </w:p>
          <w:p w:rsidR="006E3713" w:rsidRPr="009344BF" w:rsidRDefault="006E3713" w:rsidP="006D18CC">
            <w:pPr>
              <w:spacing w:line="240" w:lineRule="auto"/>
              <w:jc w:val="center"/>
              <w:rPr>
                <w:rFonts w:eastAsia="Times New Roman"/>
                <w:b/>
                <w:sz w:val="24"/>
                <w:szCs w:val="24"/>
                <w:lang w:eastAsia="ru-RU"/>
              </w:rPr>
            </w:pPr>
            <w:r w:rsidRPr="009344BF">
              <w:rPr>
                <w:rFonts w:eastAsia="Times New Roman"/>
                <w:b/>
                <w:sz w:val="24"/>
                <w:szCs w:val="24"/>
                <w:lang w:eastAsia="ru-RU"/>
              </w:rPr>
              <w:t>Спростування (так/ні)</w:t>
            </w:r>
          </w:p>
        </w:tc>
      </w:tr>
      <w:tr w:rsidR="006E3713" w:rsidRPr="009344BF" w:rsidTr="006D18CC">
        <w:tc>
          <w:tcPr>
            <w:tcW w:w="817" w:type="dxa"/>
          </w:tcPr>
          <w:p w:rsidR="006E3713" w:rsidRPr="009344BF" w:rsidRDefault="006E3713" w:rsidP="006D18CC">
            <w:pPr>
              <w:spacing w:line="240" w:lineRule="auto"/>
              <w:jc w:val="center"/>
              <w:rPr>
                <w:rFonts w:eastAsia="Times New Roman"/>
                <w:b/>
                <w:szCs w:val="28"/>
                <w:lang w:val="en-US" w:eastAsia="ru-RU"/>
              </w:rPr>
            </w:pPr>
          </w:p>
        </w:tc>
        <w:tc>
          <w:tcPr>
            <w:tcW w:w="2977" w:type="dxa"/>
            <w:vAlign w:val="center"/>
          </w:tcPr>
          <w:p w:rsidR="006E3713" w:rsidRPr="009344BF" w:rsidRDefault="006E3713" w:rsidP="006D18CC">
            <w:pPr>
              <w:spacing w:line="240" w:lineRule="auto"/>
              <w:jc w:val="center"/>
              <w:rPr>
                <w:rFonts w:eastAsia="Times New Roman"/>
                <w:b/>
                <w:sz w:val="24"/>
                <w:szCs w:val="28"/>
                <w:lang w:eastAsia="ru-RU"/>
              </w:rPr>
            </w:pPr>
            <w:r w:rsidRPr="009344BF">
              <w:rPr>
                <w:rFonts w:eastAsia="Times New Roman"/>
                <w:sz w:val="24"/>
                <w:szCs w:val="28"/>
                <w:lang w:eastAsia="ru-RU"/>
              </w:rPr>
              <w:t xml:space="preserve">Загальне законодавство </w:t>
            </w:r>
          </w:p>
        </w:tc>
        <w:tc>
          <w:tcPr>
            <w:tcW w:w="1735" w:type="dxa"/>
          </w:tcPr>
          <w:p w:rsidR="006E3713" w:rsidRPr="009344BF" w:rsidRDefault="006E3713" w:rsidP="006D18CC">
            <w:pPr>
              <w:spacing w:line="240" w:lineRule="auto"/>
              <w:jc w:val="center"/>
              <w:rPr>
                <w:rFonts w:eastAsia="Times New Roman"/>
                <w:b/>
                <w:szCs w:val="28"/>
                <w:lang w:eastAsia="ru-RU"/>
              </w:rPr>
            </w:pPr>
          </w:p>
        </w:tc>
        <w:tc>
          <w:tcPr>
            <w:tcW w:w="2268" w:type="dxa"/>
          </w:tcPr>
          <w:p w:rsidR="006E3713" w:rsidRPr="009344BF" w:rsidRDefault="006E3713" w:rsidP="006D18CC">
            <w:pPr>
              <w:spacing w:line="240" w:lineRule="auto"/>
              <w:jc w:val="center"/>
              <w:rPr>
                <w:rFonts w:eastAsia="Times New Roman"/>
                <w:b/>
                <w:szCs w:val="28"/>
                <w:lang w:eastAsia="ru-RU"/>
              </w:rPr>
            </w:pPr>
          </w:p>
        </w:tc>
        <w:tc>
          <w:tcPr>
            <w:tcW w:w="2694" w:type="dxa"/>
          </w:tcPr>
          <w:p w:rsidR="006E3713" w:rsidRPr="009344BF" w:rsidRDefault="006E3713" w:rsidP="006D18CC">
            <w:pPr>
              <w:spacing w:line="240" w:lineRule="auto"/>
              <w:jc w:val="center"/>
              <w:rPr>
                <w:rFonts w:eastAsia="Times New Roman"/>
                <w:b/>
                <w:szCs w:val="28"/>
                <w:lang w:eastAsia="ru-RU"/>
              </w:rPr>
            </w:pPr>
          </w:p>
        </w:tc>
      </w:tr>
      <w:tr w:rsidR="006E3713" w:rsidRPr="009344BF" w:rsidTr="006D18CC">
        <w:trPr>
          <w:trHeight w:val="437"/>
        </w:trPr>
        <w:tc>
          <w:tcPr>
            <w:tcW w:w="817" w:type="dxa"/>
          </w:tcPr>
          <w:p w:rsidR="006E3713" w:rsidRPr="009344BF" w:rsidRDefault="006E3713" w:rsidP="006D18CC">
            <w:pPr>
              <w:spacing w:line="240" w:lineRule="auto"/>
              <w:jc w:val="center"/>
              <w:rPr>
                <w:rFonts w:eastAsia="Times New Roman"/>
                <w:b/>
                <w:szCs w:val="28"/>
                <w:lang w:eastAsia="ru-RU"/>
              </w:rPr>
            </w:pPr>
          </w:p>
        </w:tc>
        <w:tc>
          <w:tcPr>
            <w:tcW w:w="2977" w:type="dxa"/>
            <w:vAlign w:val="center"/>
          </w:tcPr>
          <w:p w:rsidR="006E3713" w:rsidRPr="0088532F" w:rsidRDefault="006E3713" w:rsidP="006D18CC">
            <w:pPr>
              <w:spacing w:line="240" w:lineRule="auto"/>
              <w:jc w:val="center"/>
              <w:rPr>
                <w:rFonts w:eastAsia="Times New Roman"/>
                <w:sz w:val="24"/>
                <w:szCs w:val="28"/>
                <w:lang w:eastAsia="ru-RU"/>
              </w:rPr>
            </w:pPr>
            <w:r w:rsidRPr="009344BF">
              <w:rPr>
                <w:rFonts w:eastAsia="Times New Roman"/>
                <w:sz w:val="24"/>
                <w:szCs w:val="28"/>
                <w:lang w:eastAsia="ru-RU"/>
              </w:rPr>
              <w:t>Податок на додану вартість</w:t>
            </w:r>
          </w:p>
        </w:tc>
        <w:tc>
          <w:tcPr>
            <w:tcW w:w="1735" w:type="dxa"/>
          </w:tcPr>
          <w:p w:rsidR="006E3713" w:rsidRPr="009344BF" w:rsidRDefault="006E3713" w:rsidP="006D18CC">
            <w:pPr>
              <w:spacing w:line="240" w:lineRule="auto"/>
              <w:jc w:val="center"/>
              <w:rPr>
                <w:rFonts w:eastAsia="Times New Roman"/>
                <w:b/>
                <w:szCs w:val="28"/>
                <w:lang w:val="en-US" w:eastAsia="ru-RU"/>
              </w:rPr>
            </w:pPr>
          </w:p>
        </w:tc>
        <w:tc>
          <w:tcPr>
            <w:tcW w:w="2268" w:type="dxa"/>
          </w:tcPr>
          <w:p w:rsidR="006E3713" w:rsidRPr="009344BF" w:rsidRDefault="006E3713" w:rsidP="006D18CC">
            <w:pPr>
              <w:spacing w:line="240" w:lineRule="auto"/>
              <w:jc w:val="center"/>
              <w:rPr>
                <w:rFonts w:eastAsia="Times New Roman"/>
                <w:b/>
                <w:szCs w:val="28"/>
                <w:lang w:val="en-US" w:eastAsia="ru-RU"/>
              </w:rPr>
            </w:pPr>
          </w:p>
        </w:tc>
        <w:tc>
          <w:tcPr>
            <w:tcW w:w="2694" w:type="dxa"/>
          </w:tcPr>
          <w:p w:rsidR="006E3713" w:rsidRPr="009344BF" w:rsidRDefault="006E3713" w:rsidP="006D18CC">
            <w:pPr>
              <w:spacing w:line="240" w:lineRule="auto"/>
              <w:jc w:val="center"/>
              <w:rPr>
                <w:rFonts w:eastAsia="Times New Roman"/>
                <w:b/>
                <w:szCs w:val="28"/>
                <w:lang w:val="en-US" w:eastAsia="ru-RU"/>
              </w:rPr>
            </w:pPr>
          </w:p>
        </w:tc>
      </w:tr>
      <w:tr w:rsidR="006E3713" w:rsidRPr="009344BF" w:rsidTr="006D18CC">
        <w:tc>
          <w:tcPr>
            <w:tcW w:w="817" w:type="dxa"/>
          </w:tcPr>
          <w:p w:rsidR="006E3713" w:rsidRPr="009344BF" w:rsidRDefault="006E3713" w:rsidP="006D18CC">
            <w:pPr>
              <w:spacing w:line="240" w:lineRule="auto"/>
              <w:jc w:val="center"/>
              <w:rPr>
                <w:rFonts w:eastAsia="Times New Roman"/>
                <w:b/>
                <w:szCs w:val="28"/>
                <w:lang w:val="en-US" w:eastAsia="ru-RU"/>
              </w:rPr>
            </w:pPr>
          </w:p>
        </w:tc>
        <w:tc>
          <w:tcPr>
            <w:tcW w:w="2977" w:type="dxa"/>
            <w:vAlign w:val="center"/>
          </w:tcPr>
          <w:p w:rsidR="006E3713" w:rsidRPr="009344BF" w:rsidRDefault="006E3713" w:rsidP="006D18CC">
            <w:pPr>
              <w:spacing w:line="240" w:lineRule="auto"/>
              <w:jc w:val="center"/>
              <w:rPr>
                <w:rFonts w:eastAsia="Times New Roman"/>
                <w:sz w:val="24"/>
                <w:szCs w:val="28"/>
                <w:lang w:eastAsia="ru-RU"/>
              </w:rPr>
            </w:pPr>
            <w:r w:rsidRPr="009344BF">
              <w:rPr>
                <w:rFonts w:eastAsia="Times New Roman"/>
                <w:sz w:val="24"/>
                <w:szCs w:val="28"/>
                <w:lang w:eastAsia="ru-RU"/>
              </w:rPr>
              <w:t>Податок на прибуток</w:t>
            </w:r>
          </w:p>
        </w:tc>
        <w:tc>
          <w:tcPr>
            <w:tcW w:w="1735" w:type="dxa"/>
          </w:tcPr>
          <w:p w:rsidR="006E3713" w:rsidRPr="009344BF" w:rsidRDefault="006E3713" w:rsidP="006D18CC">
            <w:pPr>
              <w:spacing w:line="240" w:lineRule="auto"/>
              <w:jc w:val="center"/>
              <w:rPr>
                <w:rFonts w:eastAsia="Times New Roman"/>
                <w:b/>
                <w:szCs w:val="28"/>
                <w:lang w:val="en-US" w:eastAsia="ru-RU"/>
              </w:rPr>
            </w:pPr>
          </w:p>
        </w:tc>
        <w:tc>
          <w:tcPr>
            <w:tcW w:w="2268" w:type="dxa"/>
          </w:tcPr>
          <w:p w:rsidR="006E3713" w:rsidRPr="009344BF" w:rsidRDefault="006E3713" w:rsidP="006D18CC">
            <w:pPr>
              <w:spacing w:line="240" w:lineRule="auto"/>
              <w:jc w:val="center"/>
              <w:rPr>
                <w:rFonts w:eastAsia="Times New Roman"/>
                <w:b/>
                <w:szCs w:val="28"/>
                <w:lang w:val="en-US" w:eastAsia="ru-RU"/>
              </w:rPr>
            </w:pPr>
          </w:p>
        </w:tc>
        <w:tc>
          <w:tcPr>
            <w:tcW w:w="2694" w:type="dxa"/>
          </w:tcPr>
          <w:p w:rsidR="006E3713" w:rsidRPr="009344BF" w:rsidRDefault="006E3713" w:rsidP="006D18CC">
            <w:pPr>
              <w:spacing w:line="240" w:lineRule="auto"/>
              <w:jc w:val="center"/>
              <w:rPr>
                <w:rFonts w:eastAsia="Times New Roman"/>
                <w:b/>
                <w:szCs w:val="28"/>
                <w:lang w:val="en-US" w:eastAsia="ru-RU"/>
              </w:rPr>
            </w:pPr>
          </w:p>
        </w:tc>
      </w:tr>
      <w:tr w:rsidR="006E3713" w:rsidRPr="009344BF" w:rsidTr="006D18CC">
        <w:tc>
          <w:tcPr>
            <w:tcW w:w="817" w:type="dxa"/>
          </w:tcPr>
          <w:p w:rsidR="006E3713" w:rsidRPr="009344BF" w:rsidRDefault="006E3713" w:rsidP="006D18CC">
            <w:pPr>
              <w:spacing w:line="240" w:lineRule="auto"/>
              <w:jc w:val="center"/>
              <w:rPr>
                <w:rFonts w:eastAsia="Times New Roman"/>
                <w:b/>
                <w:szCs w:val="28"/>
                <w:lang w:val="en-US" w:eastAsia="ru-RU"/>
              </w:rPr>
            </w:pPr>
          </w:p>
        </w:tc>
        <w:tc>
          <w:tcPr>
            <w:tcW w:w="2977" w:type="dxa"/>
            <w:vAlign w:val="center"/>
          </w:tcPr>
          <w:p w:rsidR="006E3713" w:rsidRPr="009344BF" w:rsidRDefault="006E3713" w:rsidP="006D18CC">
            <w:pPr>
              <w:spacing w:line="240" w:lineRule="auto"/>
              <w:jc w:val="center"/>
              <w:rPr>
                <w:rFonts w:eastAsia="Times New Roman"/>
                <w:sz w:val="24"/>
                <w:szCs w:val="28"/>
                <w:lang w:eastAsia="ru-RU"/>
              </w:rPr>
            </w:pPr>
            <w:r w:rsidRPr="009344BF">
              <w:rPr>
                <w:rFonts w:eastAsia="Times New Roman"/>
                <w:sz w:val="24"/>
                <w:szCs w:val="28"/>
                <w:lang w:eastAsia="ru-RU"/>
              </w:rPr>
              <w:t>Акцизний податок</w:t>
            </w:r>
          </w:p>
        </w:tc>
        <w:tc>
          <w:tcPr>
            <w:tcW w:w="1735" w:type="dxa"/>
          </w:tcPr>
          <w:p w:rsidR="006E3713" w:rsidRPr="009344BF" w:rsidRDefault="006E3713" w:rsidP="006D18CC">
            <w:pPr>
              <w:spacing w:line="240" w:lineRule="auto"/>
              <w:jc w:val="center"/>
              <w:rPr>
                <w:rFonts w:eastAsia="Times New Roman"/>
                <w:b/>
                <w:szCs w:val="28"/>
                <w:lang w:val="en-US" w:eastAsia="ru-RU"/>
              </w:rPr>
            </w:pPr>
          </w:p>
        </w:tc>
        <w:tc>
          <w:tcPr>
            <w:tcW w:w="2268" w:type="dxa"/>
          </w:tcPr>
          <w:p w:rsidR="006E3713" w:rsidRPr="009344BF" w:rsidRDefault="006E3713" w:rsidP="006D18CC">
            <w:pPr>
              <w:spacing w:line="240" w:lineRule="auto"/>
              <w:jc w:val="center"/>
              <w:rPr>
                <w:rFonts w:eastAsia="Times New Roman"/>
                <w:b/>
                <w:szCs w:val="28"/>
                <w:lang w:val="en-US" w:eastAsia="ru-RU"/>
              </w:rPr>
            </w:pPr>
          </w:p>
        </w:tc>
        <w:tc>
          <w:tcPr>
            <w:tcW w:w="2694" w:type="dxa"/>
          </w:tcPr>
          <w:p w:rsidR="006E3713" w:rsidRPr="009344BF" w:rsidRDefault="006E3713" w:rsidP="006D18CC">
            <w:pPr>
              <w:spacing w:line="240" w:lineRule="auto"/>
              <w:jc w:val="center"/>
              <w:rPr>
                <w:rFonts w:eastAsia="Times New Roman"/>
                <w:b/>
                <w:szCs w:val="28"/>
                <w:lang w:val="en-US" w:eastAsia="ru-RU"/>
              </w:rPr>
            </w:pPr>
          </w:p>
        </w:tc>
      </w:tr>
      <w:tr w:rsidR="006E3713" w:rsidRPr="009344BF" w:rsidTr="006D18CC">
        <w:tc>
          <w:tcPr>
            <w:tcW w:w="817" w:type="dxa"/>
          </w:tcPr>
          <w:p w:rsidR="006E3713" w:rsidRPr="009344BF" w:rsidRDefault="006E3713" w:rsidP="006D18CC">
            <w:pPr>
              <w:spacing w:line="240" w:lineRule="auto"/>
              <w:jc w:val="center"/>
              <w:rPr>
                <w:rFonts w:eastAsia="Times New Roman"/>
                <w:b/>
                <w:szCs w:val="28"/>
                <w:lang w:val="en-US" w:eastAsia="ru-RU"/>
              </w:rPr>
            </w:pPr>
          </w:p>
        </w:tc>
        <w:tc>
          <w:tcPr>
            <w:tcW w:w="2977" w:type="dxa"/>
            <w:vAlign w:val="center"/>
          </w:tcPr>
          <w:p w:rsidR="006E3713" w:rsidRPr="009344BF" w:rsidRDefault="006E3713" w:rsidP="006D18CC">
            <w:pPr>
              <w:spacing w:line="240" w:lineRule="auto"/>
              <w:jc w:val="center"/>
              <w:rPr>
                <w:rFonts w:eastAsia="Times New Roman"/>
                <w:sz w:val="24"/>
                <w:szCs w:val="28"/>
                <w:lang w:eastAsia="ru-RU"/>
              </w:rPr>
            </w:pPr>
            <w:r w:rsidRPr="009344BF">
              <w:rPr>
                <w:rFonts w:eastAsia="Times New Roman"/>
                <w:sz w:val="24"/>
                <w:szCs w:val="28"/>
                <w:lang w:eastAsia="ru-RU"/>
              </w:rPr>
              <w:t>ЄСВ, ПДФО, ВЗ</w:t>
            </w:r>
          </w:p>
        </w:tc>
        <w:tc>
          <w:tcPr>
            <w:tcW w:w="1735" w:type="dxa"/>
          </w:tcPr>
          <w:p w:rsidR="006E3713" w:rsidRPr="009344BF" w:rsidRDefault="006E3713" w:rsidP="006D18CC">
            <w:pPr>
              <w:spacing w:line="240" w:lineRule="auto"/>
              <w:jc w:val="center"/>
              <w:rPr>
                <w:rFonts w:eastAsia="Times New Roman"/>
                <w:b/>
                <w:szCs w:val="28"/>
                <w:lang w:eastAsia="ru-RU"/>
              </w:rPr>
            </w:pPr>
          </w:p>
        </w:tc>
        <w:tc>
          <w:tcPr>
            <w:tcW w:w="2268" w:type="dxa"/>
          </w:tcPr>
          <w:p w:rsidR="006E3713" w:rsidRPr="009344BF" w:rsidRDefault="006E3713" w:rsidP="006D18CC">
            <w:pPr>
              <w:spacing w:line="240" w:lineRule="auto"/>
              <w:jc w:val="center"/>
              <w:rPr>
                <w:rFonts w:eastAsia="Times New Roman"/>
                <w:b/>
                <w:szCs w:val="28"/>
                <w:lang w:eastAsia="ru-RU"/>
              </w:rPr>
            </w:pPr>
          </w:p>
        </w:tc>
        <w:tc>
          <w:tcPr>
            <w:tcW w:w="2694" w:type="dxa"/>
          </w:tcPr>
          <w:p w:rsidR="006E3713" w:rsidRPr="009344BF" w:rsidRDefault="006E3713" w:rsidP="006D18CC">
            <w:pPr>
              <w:spacing w:line="240" w:lineRule="auto"/>
              <w:jc w:val="center"/>
              <w:rPr>
                <w:rFonts w:eastAsia="Times New Roman"/>
                <w:b/>
                <w:szCs w:val="28"/>
                <w:lang w:eastAsia="ru-RU"/>
              </w:rPr>
            </w:pPr>
          </w:p>
        </w:tc>
      </w:tr>
      <w:tr w:rsidR="006E3713" w:rsidRPr="009344BF" w:rsidTr="006D18CC">
        <w:tc>
          <w:tcPr>
            <w:tcW w:w="817" w:type="dxa"/>
          </w:tcPr>
          <w:p w:rsidR="006E3713" w:rsidRPr="009344BF" w:rsidRDefault="006E3713" w:rsidP="006D18CC">
            <w:pPr>
              <w:spacing w:line="240" w:lineRule="auto"/>
              <w:jc w:val="center"/>
              <w:rPr>
                <w:rFonts w:eastAsia="Times New Roman"/>
                <w:b/>
                <w:szCs w:val="28"/>
                <w:lang w:eastAsia="ru-RU"/>
              </w:rPr>
            </w:pPr>
          </w:p>
        </w:tc>
        <w:tc>
          <w:tcPr>
            <w:tcW w:w="2977" w:type="dxa"/>
            <w:vAlign w:val="center"/>
          </w:tcPr>
          <w:p w:rsidR="006E3713" w:rsidRPr="009344BF" w:rsidRDefault="006E3713" w:rsidP="006D18CC">
            <w:pPr>
              <w:spacing w:line="240" w:lineRule="auto"/>
              <w:jc w:val="center"/>
              <w:rPr>
                <w:rFonts w:eastAsia="Times New Roman"/>
                <w:sz w:val="24"/>
                <w:szCs w:val="28"/>
                <w:lang w:eastAsia="ru-RU"/>
              </w:rPr>
            </w:pPr>
            <w:r w:rsidRPr="009344BF">
              <w:rPr>
                <w:rFonts w:eastAsia="Times New Roman"/>
                <w:sz w:val="24"/>
                <w:szCs w:val="28"/>
                <w:lang w:eastAsia="ru-RU"/>
              </w:rPr>
              <w:t>Інші платежі та збори</w:t>
            </w:r>
          </w:p>
        </w:tc>
        <w:tc>
          <w:tcPr>
            <w:tcW w:w="1735" w:type="dxa"/>
          </w:tcPr>
          <w:p w:rsidR="006E3713" w:rsidRPr="009344BF" w:rsidRDefault="006E3713" w:rsidP="006D18CC">
            <w:pPr>
              <w:spacing w:line="240" w:lineRule="auto"/>
              <w:jc w:val="center"/>
              <w:rPr>
                <w:rFonts w:eastAsia="Times New Roman"/>
                <w:b/>
                <w:szCs w:val="28"/>
                <w:lang w:eastAsia="ru-RU"/>
              </w:rPr>
            </w:pPr>
          </w:p>
        </w:tc>
        <w:tc>
          <w:tcPr>
            <w:tcW w:w="2268" w:type="dxa"/>
          </w:tcPr>
          <w:p w:rsidR="006E3713" w:rsidRPr="009344BF" w:rsidRDefault="006E3713" w:rsidP="006D18CC">
            <w:pPr>
              <w:spacing w:line="240" w:lineRule="auto"/>
              <w:jc w:val="center"/>
              <w:rPr>
                <w:rFonts w:eastAsia="Times New Roman"/>
                <w:b/>
                <w:szCs w:val="28"/>
                <w:lang w:eastAsia="ru-RU"/>
              </w:rPr>
            </w:pPr>
          </w:p>
        </w:tc>
        <w:tc>
          <w:tcPr>
            <w:tcW w:w="2694" w:type="dxa"/>
          </w:tcPr>
          <w:p w:rsidR="006E3713" w:rsidRPr="009344BF" w:rsidRDefault="006E3713" w:rsidP="006D18CC">
            <w:pPr>
              <w:spacing w:line="240" w:lineRule="auto"/>
              <w:jc w:val="center"/>
              <w:rPr>
                <w:rFonts w:eastAsia="Times New Roman"/>
                <w:b/>
                <w:szCs w:val="28"/>
                <w:lang w:eastAsia="ru-RU"/>
              </w:rPr>
            </w:pPr>
          </w:p>
        </w:tc>
      </w:tr>
      <w:tr w:rsidR="006E3713" w:rsidRPr="009344BF" w:rsidTr="006D18CC">
        <w:tc>
          <w:tcPr>
            <w:tcW w:w="817" w:type="dxa"/>
          </w:tcPr>
          <w:p w:rsidR="006E3713" w:rsidRPr="009344BF" w:rsidRDefault="006E3713" w:rsidP="006D18CC">
            <w:pPr>
              <w:spacing w:line="240" w:lineRule="auto"/>
              <w:jc w:val="center"/>
              <w:rPr>
                <w:rFonts w:eastAsia="Times New Roman"/>
                <w:b/>
                <w:szCs w:val="28"/>
                <w:lang w:eastAsia="ru-RU"/>
              </w:rPr>
            </w:pPr>
          </w:p>
        </w:tc>
        <w:tc>
          <w:tcPr>
            <w:tcW w:w="2977" w:type="dxa"/>
            <w:vAlign w:val="center"/>
          </w:tcPr>
          <w:p w:rsidR="006E3713" w:rsidRPr="009344BF" w:rsidRDefault="006E3713" w:rsidP="006D18CC">
            <w:pPr>
              <w:spacing w:line="240" w:lineRule="auto"/>
              <w:jc w:val="center"/>
              <w:rPr>
                <w:rFonts w:eastAsia="Times New Roman"/>
                <w:b/>
                <w:sz w:val="24"/>
                <w:szCs w:val="28"/>
                <w:lang w:eastAsia="ru-RU"/>
              </w:rPr>
            </w:pPr>
            <w:r w:rsidRPr="009344BF">
              <w:rPr>
                <w:rFonts w:eastAsia="Times New Roman"/>
                <w:sz w:val="24"/>
                <w:szCs w:val="28"/>
                <w:lang w:eastAsia="ru-RU"/>
              </w:rPr>
              <w:t>Господарські операції</w:t>
            </w:r>
          </w:p>
        </w:tc>
        <w:tc>
          <w:tcPr>
            <w:tcW w:w="1735" w:type="dxa"/>
          </w:tcPr>
          <w:p w:rsidR="006E3713" w:rsidRPr="009344BF" w:rsidRDefault="006E3713" w:rsidP="006D18CC">
            <w:pPr>
              <w:spacing w:line="240" w:lineRule="auto"/>
              <w:jc w:val="center"/>
              <w:rPr>
                <w:rFonts w:eastAsia="Times New Roman"/>
                <w:b/>
                <w:szCs w:val="28"/>
                <w:lang w:eastAsia="ru-RU"/>
              </w:rPr>
            </w:pPr>
          </w:p>
        </w:tc>
        <w:tc>
          <w:tcPr>
            <w:tcW w:w="2268" w:type="dxa"/>
          </w:tcPr>
          <w:p w:rsidR="006E3713" w:rsidRPr="009344BF" w:rsidRDefault="006E3713" w:rsidP="006D18CC">
            <w:pPr>
              <w:spacing w:line="240" w:lineRule="auto"/>
              <w:jc w:val="center"/>
              <w:rPr>
                <w:rFonts w:eastAsia="Times New Roman"/>
                <w:b/>
                <w:szCs w:val="28"/>
                <w:lang w:eastAsia="ru-RU"/>
              </w:rPr>
            </w:pPr>
          </w:p>
        </w:tc>
        <w:tc>
          <w:tcPr>
            <w:tcW w:w="2694" w:type="dxa"/>
          </w:tcPr>
          <w:p w:rsidR="006E3713" w:rsidRPr="009344BF" w:rsidRDefault="006E3713" w:rsidP="006D18CC">
            <w:pPr>
              <w:spacing w:line="240" w:lineRule="auto"/>
              <w:jc w:val="center"/>
              <w:rPr>
                <w:rFonts w:eastAsia="Times New Roman"/>
                <w:b/>
                <w:szCs w:val="28"/>
                <w:lang w:eastAsia="ru-RU"/>
              </w:rPr>
            </w:pPr>
          </w:p>
        </w:tc>
      </w:tr>
      <w:tr w:rsidR="006E3713" w:rsidRPr="009344BF" w:rsidTr="006D18CC">
        <w:tc>
          <w:tcPr>
            <w:tcW w:w="10491" w:type="dxa"/>
            <w:gridSpan w:val="5"/>
          </w:tcPr>
          <w:p w:rsidR="006E3713" w:rsidRPr="009344BF" w:rsidRDefault="006E3713" w:rsidP="006D18CC">
            <w:pPr>
              <w:spacing w:line="240" w:lineRule="auto"/>
              <w:jc w:val="center"/>
              <w:rPr>
                <w:rFonts w:eastAsia="Times New Roman"/>
                <w:szCs w:val="28"/>
                <w:lang w:eastAsia="ru-RU"/>
              </w:rPr>
            </w:pPr>
            <w:r w:rsidRPr="009344BF">
              <w:rPr>
                <w:rFonts w:eastAsia="Times New Roman"/>
                <w:sz w:val="24"/>
                <w:szCs w:val="28"/>
                <w:lang w:eastAsia="ru-RU"/>
              </w:rPr>
              <w:t>Питома вага відхилень складає</w:t>
            </w:r>
            <w:r w:rsidRPr="009344BF">
              <w:rPr>
                <w:rFonts w:eastAsia="Times New Roman"/>
                <w:sz w:val="24"/>
                <w:szCs w:val="28"/>
                <w:lang w:val="en-US" w:eastAsia="ru-RU"/>
              </w:rPr>
              <w:t xml:space="preserve">: </w:t>
            </w:r>
            <w:r w:rsidRPr="009344BF">
              <w:rPr>
                <w:rFonts w:eastAsia="Times New Roman"/>
                <w:sz w:val="24"/>
                <w:szCs w:val="28"/>
                <w:lang w:eastAsia="ru-RU"/>
              </w:rPr>
              <w:t>___%</w:t>
            </w:r>
          </w:p>
        </w:tc>
      </w:tr>
    </w:tbl>
    <w:p w:rsidR="006E3713" w:rsidRPr="009344BF" w:rsidRDefault="006E3713" w:rsidP="006E3713">
      <w:pPr>
        <w:spacing w:line="240" w:lineRule="auto"/>
        <w:ind w:firstLine="567"/>
        <w:jc w:val="center"/>
        <w:rPr>
          <w:rFonts w:eastAsia="Times New Roman"/>
          <w:b/>
          <w:szCs w:val="28"/>
          <w:lang w:eastAsia="ru-RU"/>
        </w:rPr>
      </w:pPr>
    </w:p>
    <w:p w:rsidR="006E3713" w:rsidRDefault="006E3713" w:rsidP="006E3713">
      <w:pPr>
        <w:spacing w:line="240" w:lineRule="auto"/>
        <w:ind w:firstLine="567"/>
        <w:rPr>
          <w:rFonts w:eastAsia="Times New Roman"/>
          <w:i/>
          <w:szCs w:val="28"/>
          <w:lang w:val="en-US" w:eastAsia="ru-RU"/>
        </w:rPr>
      </w:pPr>
    </w:p>
    <w:p w:rsidR="006E3713" w:rsidRPr="007103A0" w:rsidRDefault="006E3713" w:rsidP="006E3713">
      <w:pPr>
        <w:spacing w:line="240" w:lineRule="auto"/>
        <w:ind w:firstLine="567"/>
        <w:rPr>
          <w:rFonts w:eastAsia="Times New Roman"/>
          <w:sz w:val="27"/>
          <w:szCs w:val="27"/>
          <w:lang w:val="en-US" w:eastAsia="ru-RU"/>
        </w:rPr>
      </w:pPr>
    </w:p>
    <w:p w:rsidR="000D7817" w:rsidRDefault="000D7817" w:rsidP="006E3713">
      <w:pPr>
        <w:widowControl w:val="0"/>
        <w:spacing w:line="240" w:lineRule="auto"/>
        <w:ind w:left="5103"/>
        <w:contextualSpacing/>
        <w:jc w:val="left"/>
        <w:rPr>
          <w:rFonts w:eastAsia="Courier New"/>
          <w:color w:val="000000"/>
          <w:szCs w:val="28"/>
          <w:shd w:val="clear" w:color="auto" w:fill="FFFFFF"/>
          <w:lang w:val="uk-UA" w:eastAsia="uk-UA"/>
        </w:rPr>
      </w:pPr>
    </w:p>
    <w:p w:rsidR="000D7817" w:rsidRDefault="000D7817" w:rsidP="006E3713">
      <w:pPr>
        <w:widowControl w:val="0"/>
        <w:spacing w:line="240" w:lineRule="auto"/>
        <w:ind w:left="5103"/>
        <w:contextualSpacing/>
        <w:jc w:val="left"/>
        <w:rPr>
          <w:rFonts w:eastAsia="Courier New"/>
          <w:color w:val="000000"/>
          <w:szCs w:val="28"/>
          <w:shd w:val="clear" w:color="auto" w:fill="FFFFFF"/>
          <w:lang w:val="uk-UA" w:eastAsia="uk-UA"/>
        </w:rPr>
      </w:pPr>
    </w:p>
    <w:p w:rsidR="000D7817" w:rsidRDefault="000D7817" w:rsidP="006E3713">
      <w:pPr>
        <w:widowControl w:val="0"/>
        <w:spacing w:line="240" w:lineRule="auto"/>
        <w:ind w:left="5103"/>
        <w:contextualSpacing/>
        <w:jc w:val="left"/>
        <w:rPr>
          <w:rFonts w:eastAsia="Courier New"/>
          <w:color w:val="000000"/>
          <w:szCs w:val="28"/>
          <w:shd w:val="clear" w:color="auto" w:fill="FFFFFF"/>
          <w:lang w:val="uk-UA" w:eastAsia="uk-UA"/>
        </w:rPr>
      </w:pPr>
    </w:p>
    <w:p w:rsidR="000D7817" w:rsidRDefault="000D7817" w:rsidP="006E3713">
      <w:pPr>
        <w:widowControl w:val="0"/>
        <w:spacing w:line="240" w:lineRule="auto"/>
        <w:ind w:left="5103"/>
        <w:contextualSpacing/>
        <w:jc w:val="left"/>
        <w:rPr>
          <w:rFonts w:eastAsia="Courier New"/>
          <w:color w:val="000000"/>
          <w:szCs w:val="28"/>
          <w:shd w:val="clear" w:color="auto" w:fill="FFFFFF"/>
          <w:lang w:val="uk-UA" w:eastAsia="uk-UA"/>
        </w:rPr>
      </w:pPr>
    </w:p>
    <w:p w:rsidR="000D7817" w:rsidRDefault="000D7817" w:rsidP="006E3713">
      <w:pPr>
        <w:widowControl w:val="0"/>
        <w:spacing w:line="240" w:lineRule="auto"/>
        <w:ind w:left="5103"/>
        <w:contextualSpacing/>
        <w:jc w:val="left"/>
        <w:rPr>
          <w:rFonts w:eastAsia="Courier New"/>
          <w:color w:val="000000"/>
          <w:szCs w:val="28"/>
          <w:shd w:val="clear" w:color="auto" w:fill="FFFFFF"/>
          <w:lang w:val="uk-UA" w:eastAsia="uk-UA"/>
        </w:rPr>
      </w:pPr>
    </w:p>
    <w:p w:rsidR="000D7817" w:rsidRDefault="000D7817" w:rsidP="006E3713">
      <w:pPr>
        <w:widowControl w:val="0"/>
        <w:spacing w:line="240" w:lineRule="auto"/>
        <w:ind w:left="5103"/>
        <w:contextualSpacing/>
        <w:jc w:val="left"/>
        <w:rPr>
          <w:rFonts w:eastAsia="Courier New"/>
          <w:color w:val="000000"/>
          <w:szCs w:val="28"/>
          <w:shd w:val="clear" w:color="auto" w:fill="FFFFFF"/>
          <w:lang w:val="uk-UA" w:eastAsia="uk-UA"/>
        </w:rPr>
      </w:pPr>
    </w:p>
    <w:p w:rsidR="000D7817" w:rsidRDefault="000D7817" w:rsidP="006E3713">
      <w:pPr>
        <w:widowControl w:val="0"/>
        <w:spacing w:line="240" w:lineRule="auto"/>
        <w:ind w:left="5103"/>
        <w:contextualSpacing/>
        <w:jc w:val="left"/>
        <w:rPr>
          <w:rFonts w:eastAsia="Courier New"/>
          <w:color w:val="000000"/>
          <w:szCs w:val="28"/>
          <w:shd w:val="clear" w:color="auto" w:fill="FFFFFF"/>
          <w:lang w:val="uk-UA" w:eastAsia="uk-UA"/>
        </w:rPr>
      </w:pPr>
    </w:p>
    <w:p w:rsidR="000D7817" w:rsidRDefault="000D7817" w:rsidP="006E3713">
      <w:pPr>
        <w:widowControl w:val="0"/>
        <w:spacing w:line="240" w:lineRule="auto"/>
        <w:ind w:left="5103"/>
        <w:contextualSpacing/>
        <w:jc w:val="left"/>
        <w:rPr>
          <w:rFonts w:eastAsia="Courier New"/>
          <w:color w:val="000000"/>
          <w:szCs w:val="28"/>
          <w:shd w:val="clear" w:color="auto" w:fill="FFFFFF"/>
          <w:lang w:val="uk-UA" w:eastAsia="uk-UA"/>
        </w:rPr>
      </w:pPr>
    </w:p>
    <w:p w:rsidR="000D7817" w:rsidRDefault="000D7817" w:rsidP="006E3713">
      <w:pPr>
        <w:widowControl w:val="0"/>
        <w:spacing w:line="240" w:lineRule="auto"/>
        <w:ind w:left="5103"/>
        <w:contextualSpacing/>
        <w:jc w:val="left"/>
        <w:rPr>
          <w:rFonts w:eastAsia="Courier New"/>
          <w:color w:val="000000"/>
          <w:szCs w:val="28"/>
          <w:shd w:val="clear" w:color="auto" w:fill="FFFFFF"/>
          <w:lang w:val="uk-UA" w:eastAsia="uk-UA"/>
        </w:rPr>
      </w:pPr>
    </w:p>
    <w:p w:rsidR="000D7817" w:rsidRDefault="000D7817" w:rsidP="006E3713">
      <w:pPr>
        <w:widowControl w:val="0"/>
        <w:spacing w:line="240" w:lineRule="auto"/>
        <w:ind w:left="5103"/>
        <w:contextualSpacing/>
        <w:jc w:val="left"/>
        <w:rPr>
          <w:rFonts w:eastAsia="Courier New"/>
          <w:color w:val="000000"/>
          <w:szCs w:val="28"/>
          <w:shd w:val="clear" w:color="auto" w:fill="FFFFFF"/>
          <w:lang w:val="uk-UA" w:eastAsia="uk-UA"/>
        </w:rPr>
      </w:pPr>
    </w:p>
    <w:p w:rsidR="000D7817" w:rsidRDefault="000D7817" w:rsidP="006E3713">
      <w:pPr>
        <w:widowControl w:val="0"/>
        <w:spacing w:line="240" w:lineRule="auto"/>
        <w:ind w:left="5103"/>
        <w:contextualSpacing/>
        <w:jc w:val="left"/>
        <w:rPr>
          <w:rFonts w:eastAsia="Courier New"/>
          <w:color w:val="000000"/>
          <w:szCs w:val="28"/>
          <w:shd w:val="clear" w:color="auto" w:fill="FFFFFF"/>
          <w:lang w:val="uk-UA" w:eastAsia="uk-UA"/>
        </w:rPr>
      </w:pPr>
    </w:p>
    <w:p w:rsidR="000D7817" w:rsidRDefault="000D7817" w:rsidP="006E3713">
      <w:pPr>
        <w:widowControl w:val="0"/>
        <w:spacing w:line="240" w:lineRule="auto"/>
        <w:ind w:left="5103"/>
        <w:contextualSpacing/>
        <w:jc w:val="left"/>
        <w:rPr>
          <w:rFonts w:eastAsia="Courier New"/>
          <w:color w:val="000000"/>
          <w:szCs w:val="28"/>
          <w:shd w:val="clear" w:color="auto" w:fill="FFFFFF"/>
          <w:lang w:val="uk-UA" w:eastAsia="uk-UA"/>
        </w:rPr>
      </w:pPr>
    </w:p>
    <w:p w:rsidR="000D7817" w:rsidRDefault="000D7817" w:rsidP="006E3713">
      <w:pPr>
        <w:widowControl w:val="0"/>
        <w:spacing w:line="240" w:lineRule="auto"/>
        <w:ind w:left="5103"/>
        <w:contextualSpacing/>
        <w:jc w:val="left"/>
        <w:rPr>
          <w:rFonts w:eastAsia="Courier New"/>
          <w:color w:val="000000"/>
          <w:szCs w:val="28"/>
          <w:shd w:val="clear" w:color="auto" w:fill="FFFFFF"/>
          <w:lang w:val="uk-UA" w:eastAsia="uk-UA"/>
        </w:rPr>
      </w:pPr>
    </w:p>
    <w:p w:rsidR="000D7817" w:rsidRDefault="000D7817" w:rsidP="006E3713">
      <w:pPr>
        <w:widowControl w:val="0"/>
        <w:spacing w:line="240" w:lineRule="auto"/>
        <w:ind w:left="5103"/>
        <w:contextualSpacing/>
        <w:jc w:val="left"/>
        <w:rPr>
          <w:rFonts w:eastAsia="Courier New"/>
          <w:color w:val="000000"/>
          <w:szCs w:val="28"/>
          <w:shd w:val="clear" w:color="auto" w:fill="FFFFFF"/>
          <w:lang w:val="uk-UA" w:eastAsia="uk-UA"/>
        </w:rPr>
      </w:pPr>
    </w:p>
    <w:p w:rsidR="000D7817" w:rsidRDefault="000D7817" w:rsidP="006E3713">
      <w:pPr>
        <w:widowControl w:val="0"/>
        <w:spacing w:line="240" w:lineRule="auto"/>
        <w:ind w:left="5103"/>
        <w:contextualSpacing/>
        <w:jc w:val="left"/>
        <w:rPr>
          <w:rFonts w:eastAsia="Courier New"/>
          <w:color w:val="000000"/>
          <w:szCs w:val="28"/>
          <w:shd w:val="clear" w:color="auto" w:fill="FFFFFF"/>
          <w:lang w:val="uk-UA" w:eastAsia="uk-UA"/>
        </w:rPr>
      </w:pPr>
    </w:p>
    <w:p w:rsidR="000D7817" w:rsidRDefault="000D7817" w:rsidP="006E3713">
      <w:pPr>
        <w:widowControl w:val="0"/>
        <w:spacing w:line="240" w:lineRule="auto"/>
        <w:ind w:left="5103"/>
        <w:contextualSpacing/>
        <w:jc w:val="left"/>
        <w:rPr>
          <w:rFonts w:eastAsia="Courier New"/>
          <w:color w:val="000000"/>
          <w:szCs w:val="28"/>
          <w:shd w:val="clear" w:color="auto" w:fill="FFFFFF"/>
          <w:lang w:val="uk-UA" w:eastAsia="uk-UA"/>
        </w:rPr>
      </w:pPr>
    </w:p>
    <w:p w:rsidR="000D7817" w:rsidRDefault="000D7817" w:rsidP="006E3713">
      <w:pPr>
        <w:widowControl w:val="0"/>
        <w:spacing w:line="240" w:lineRule="auto"/>
        <w:ind w:left="5103"/>
        <w:contextualSpacing/>
        <w:jc w:val="left"/>
        <w:rPr>
          <w:rFonts w:eastAsia="Courier New"/>
          <w:color w:val="000000"/>
          <w:szCs w:val="28"/>
          <w:shd w:val="clear" w:color="auto" w:fill="FFFFFF"/>
          <w:lang w:val="uk-UA" w:eastAsia="uk-UA"/>
        </w:rPr>
      </w:pPr>
    </w:p>
    <w:p w:rsidR="000D7817" w:rsidRDefault="000D7817" w:rsidP="006E3713">
      <w:pPr>
        <w:widowControl w:val="0"/>
        <w:spacing w:line="240" w:lineRule="auto"/>
        <w:ind w:left="5103"/>
        <w:contextualSpacing/>
        <w:jc w:val="left"/>
        <w:rPr>
          <w:rFonts w:eastAsia="Courier New"/>
          <w:color w:val="000000"/>
          <w:szCs w:val="28"/>
          <w:shd w:val="clear" w:color="auto" w:fill="FFFFFF"/>
          <w:lang w:val="uk-UA" w:eastAsia="uk-UA"/>
        </w:rPr>
      </w:pPr>
    </w:p>
    <w:p w:rsidR="006E3713" w:rsidRPr="00E862EA" w:rsidRDefault="006E3713" w:rsidP="006E3713">
      <w:pPr>
        <w:widowControl w:val="0"/>
        <w:spacing w:line="240" w:lineRule="auto"/>
        <w:ind w:left="5103"/>
        <w:contextualSpacing/>
        <w:jc w:val="left"/>
        <w:rPr>
          <w:rFonts w:eastAsia="Courier New"/>
          <w:color w:val="000000"/>
          <w:szCs w:val="28"/>
          <w:lang w:val="uk-UA" w:eastAsia="uk-UA"/>
        </w:rPr>
      </w:pPr>
      <w:bookmarkStart w:id="0" w:name="_GoBack"/>
      <w:bookmarkEnd w:id="0"/>
      <w:r>
        <w:rPr>
          <w:rFonts w:eastAsia="Courier New"/>
          <w:color w:val="000000"/>
          <w:szCs w:val="28"/>
          <w:shd w:val="clear" w:color="auto" w:fill="FFFFFF"/>
          <w:lang w:val="uk-UA" w:eastAsia="uk-UA"/>
        </w:rPr>
        <w:lastRenderedPageBreak/>
        <w:t>Додаток</w:t>
      </w:r>
      <w:r w:rsidRPr="009B7B83">
        <w:rPr>
          <w:rFonts w:eastAsia="Courier New"/>
          <w:color w:val="000000"/>
          <w:szCs w:val="28"/>
          <w:shd w:val="clear" w:color="auto" w:fill="FFFFFF"/>
          <w:lang w:eastAsia="uk-UA"/>
        </w:rPr>
        <w:t xml:space="preserve"> 2</w:t>
      </w:r>
      <w:r>
        <w:rPr>
          <w:rFonts w:eastAsia="Courier New"/>
          <w:color w:val="000000"/>
          <w:szCs w:val="28"/>
          <w:shd w:val="clear" w:color="auto" w:fill="FFFFFF"/>
          <w:lang w:val="uk-UA" w:eastAsia="uk-UA"/>
        </w:rPr>
        <w:br/>
      </w:r>
      <w:r>
        <w:rPr>
          <w:rFonts w:eastAsia="Courier New"/>
          <w:color w:val="000000"/>
          <w:szCs w:val="28"/>
          <w:lang w:val="uk-UA" w:eastAsia="uk-UA"/>
        </w:rPr>
        <w:t>до Методики</w:t>
      </w:r>
      <w:r w:rsidRPr="00302367">
        <w:rPr>
          <w:rFonts w:eastAsia="Courier New"/>
          <w:color w:val="000000"/>
          <w:szCs w:val="28"/>
          <w:lang w:eastAsia="uk-UA"/>
        </w:rPr>
        <w:t xml:space="preserve"> </w:t>
      </w:r>
      <w:r>
        <w:rPr>
          <w:rFonts w:eastAsia="Courier New"/>
          <w:color w:val="000000"/>
          <w:szCs w:val="28"/>
          <w:lang w:val="uk-UA" w:eastAsia="uk-UA"/>
        </w:rPr>
        <w:t xml:space="preserve">проведення перевірки загальних положень податкового та іншого законодавства України, контроль за дотриманням якого </w:t>
      </w:r>
      <w:r w:rsidRPr="00E862EA">
        <w:rPr>
          <w:rFonts w:eastAsia="Courier New"/>
          <w:color w:val="000000"/>
          <w:szCs w:val="28"/>
          <w:lang w:val="uk-UA" w:eastAsia="uk-UA"/>
        </w:rPr>
        <w:t xml:space="preserve">покладено на податкові органи </w:t>
      </w:r>
    </w:p>
    <w:p w:rsidR="006E3713" w:rsidRDefault="006E3713" w:rsidP="006E3713">
      <w:pPr>
        <w:widowControl w:val="0"/>
        <w:spacing w:line="240" w:lineRule="auto"/>
        <w:ind w:left="5103"/>
        <w:contextualSpacing/>
        <w:jc w:val="left"/>
        <w:rPr>
          <w:rFonts w:eastAsia="Courier New"/>
          <w:color w:val="000000"/>
          <w:szCs w:val="28"/>
          <w:lang w:val="uk-UA" w:eastAsia="uk-UA"/>
        </w:rPr>
      </w:pPr>
      <w:r w:rsidRPr="00E862EA">
        <w:rPr>
          <w:rFonts w:eastAsia="Courier New"/>
          <w:color w:val="000000"/>
          <w:szCs w:val="28"/>
          <w:lang w:val="uk-UA" w:eastAsia="uk-UA"/>
        </w:rPr>
        <w:t>(</w:t>
      </w:r>
      <w:r>
        <w:rPr>
          <w:rFonts w:eastAsia="Courier New"/>
          <w:color w:val="000000"/>
          <w:szCs w:val="28"/>
          <w:lang w:val="uk-UA" w:eastAsia="uk-UA"/>
        </w:rPr>
        <w:t xml:space="preserve">абзац дев’ятнадцятий </w:t>
      </w:r>
      <w:r w:rsidRPr="006B0105">
        <w:rPr>
          <w:rFonts w:eastAsia="Courier New"/>
          <w:color w:val="000000"/>
          <w:szCs w:val="28"/>
          <w:lang w:val="uk-UA" w:eastAsia="uk-UA"/>
        </w:rPr>
        <w:t>пункт</w:t>
      </w:r>
      <w:r>
        <w:rPr>
          <w:rFonts w:eastAsia="Courier New"/>
          <w:color w:val="000000"/>
          <w:szCs w:val="28"/>
          <w:lang w:val="uk-UA" w:eastAsia="uk-UA"/>
        </w:rPr>
        <w:t>у</w:t>
      </w:r>
      <w:r w:rsidRPr="006B0105">
        <w:rPr>
          <w:rFonts w:eastAsia="Courier New"/>
          <w:color w:val="000000"/>
          <w:szCs w:val="28"/>
          <w:lang w:val="uk-UA" w:eastAsia="uk-UA"/>
        </w:rPr>
        <w:t xml:space="preserve"> </w:t>
      </w:r>
      <w:r>
        <w:rPr>
          <w:rFonts w:eastAsia="Courier New"/>
          <w:color w:val="000000"/>
          <w:szCs w:val="28"/>
          <w:lang w:val="uk-UA" w:eastAsia="uk-UA"/>
        </w:rPr>
        <w:t>4.3</w:t>
      </w:r>
      <w:r w:rsidRPr="006B0105">
        <w:rPr>
          <w:rFonts w:eastAsia="Courier New"/>
          <w:color w:val="000000"/>
          <w:szCs w:val="28"/>
          <w:lang w:val="uk-UA" w:eastAsia="uk-UA"/>
        </w:rPr>
        <w:t xml:space="preserve"> розділу </w:t>
      </w:r>
      <w:r w:rsidRPr="00FF7C81">
        <w:rPr>
          <w:rFonts w:eastAsia="Times New Roman"/>
          <w:szCs w:val="28"/>
          <w:lang w:val="en-US" w:eastAsia="ru-RU"/>
        </w:rPr>
        <w:t>IV</w:t>
      </w:r>
      <w:r w:rsidRPr="00E862EA">
        <w:rPr>
          <w:rFonts w:eastAsia="Courier New"/>
          <w:color w:val="000000"/>
          <w:szCs w:val="28"/>
          <w:lang w:val="uk-UA" w:eastAsia="uk-UA"/>
        </w:rPr>
        <w:t>)</w:t>
      </w:r>
    </w:p>
    <w:p w:rsidR="006E3713" w:rsidRDefault="006E3713" w:rsidP="006E3713">
      <w:pPr>
        <w:rPr>
          <w:lang w:val="uk-UA"/>
        </w:rPr>
      </w:pPr>
    </w:p>
    <w:tbl>
      <w:tblPr>
        <w:tblW w:w="10410" w:type="dxa"/>
        <w:tblInd w:w="-645" w:type="dxa"/>
        <w:tblBorders>
          <w:top w:val="nil"/>
          <w:left w:val="nil"/>
          <w:bottom w:val="nil"/>
          <w:right w:val="nil"/>
          <w:insideH w:val="nil"/>
          <w:insideV w:val="nil"/>
        </w:tblBorders>
        <w:tblLayout w:type="fixed"/>
        <w:tblLook w:val="0600" w:firstRow="0" w:lastRow="0" w:firstColumn="0" w:lastColumn="0" w:noHBand="1" w:noVBand="1"/>
      </w:tblPr>
      <w:tblGrid>
        <w:gridCol w:w="3105"/>
        <w:gridCol w:w="7305"/>
      </w:tblGrid>
      <w:tr w:rsidR="006E3713" w:rsidRPr="006E3713" w:rsidTr="006D18CC">
        <w:trPr>
          <w:trHeight w:val="935"/>
        </w:trPr>
        <w:tc>
          <w:tcPr>
            <w:tcW w:w="10410" w:type="dxa"/>
            <w:gridSpan w:val="2"/>
            <w:tcBorders>
              <w:top w:val="nil"/>
              <w:left w:val="nil"/>
              <w:bottom w:val="nil"/>
              <w:right w:val="nil"/>
            </w:tcBorders>
            <w:tcMar>
              <w:top w:w="100" w:type="dxa"/>
              <w:left w:w="100" w:type="dxa"/>
              <w:bottom w:w="100" w:type="dxa"/>
              <w:right w:w="100" w:type="dxa"/>
            </w:tcMar>
          </w:tcPr>
          <w:p w:rsidR="006E3713" w:rsidRPr="004C3710" w:rsidRDefault="006E3713" w:rsidP="006D18CC">
            <w:pPr>
              <w:pStyle w:val="2"/>
              <w:spacing w:before="0" w:line="240" w:lineRule="auto"/>
              <w:ind w:left="100"/>
              <w:jc w:val="center"/>
              <w:rPr>
                <w:rFonts w:ascii="Times New Roman" w:hAnsi="Times New Roman" w:cs="Times New Roman"/>
                <w:b w:val="0"/>
                <w:color w:val="auto"/>
                <w:sz w:val="28"/>
                <w:lang w:val="uk-UA"/>
              </w:rPr>
            </w:pPr>
            <w:r w:rsidRPr="004C3710">
              <w:rPr>
                <w:rFonts w:ascii="Times New Roman" w:hAnsi="Times New Roman" w:cs="Times New Roman"/>
                <w:b w:val="0"/>
                <w:color w:val="auto"/>
                <w:sz w:val="28"/>
                <w:lang w:val="uk-UA"/>
              </w:rPr>
              <w:t xml:space="preserve">Орієнтовний перелік інформаційних ресурсів, </w:t>
            </w:r>
          </w:p>
          <w:p w:rsidR="006E3713" w:rsidRPr="00617BB2" w:rsidRDefault="006E3713" w:rsidP="006D18CC">
            <w:pPr>
              <w:pStyle w:val="2"/>
              <w:spacing w:before="0" w:line="240" w:lineRule="auto"/>
              <w:ind w:left="100"/>
              <w:jc w:val="center"/>
              <w:rPr>
                <w:rFonts w:ascii="Times New Roman" w:hAnsi="Times New Roman" w:cs="Times New Roman"/>
                <w:color w:val="auto"/>
                <w:sz w:val="24"/>
                <w:lang w:val="uk-UA"/>
              </w:rPr>
            </w:pPr>
            <w:r w:rsidRPr="004C3710">
              <w:rPr>
                <w:rFonts w:ascii="Times New Roman" w:hAnsi="Times New Roman" w:cs="Times New Roman"/>
                <w:b w:val="0"/>
                <w:color w:val="auto"/>
                <w:sz w:val="28"/>
                <w:lang w:val="uk-UA"/>
              </w:rPr>
              <w:t>що отримується ДПС в порядку інформаційної взаємодії</w:t>
            </w:r>
          </w:p>
        </w:tc>
      </w:tr>
      <w:tr w:rsidR="006E3713" w:rsidRPr="006E3713" w:rsidTr="006D18CC">
        <w:trPr>
          <w:trHeight w:val="395"/>
        </w:trPr>
        <w:tc>
          <w:tcPr>
            <w:tcW w:w="3105"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E3713" w:rsidRPr="00617BB2" w:rsidRDefault="006E3713" w:rsidP="006D18CC">
            <w:pPr>
              <w:spacing w:line="240" w:lineRule="auto"/>
              <w:ind w:left="100"/>
              <w:jc w:val="center"/>
              <w:rPr>
                <w:b/>
                <w:sz w:val="24"/>
                <w:szCs w:val="26"/>
                <w:lang w:val="uk-UA"/>
              </w:rPr>
            </w:pPr>
            <w:r w:rsidRPr="00617BB2">
              <w:rPr>
                <w:b/>
                <w:sz w:val="24"/>
                <w:szCs w:val="26"/>
                <w:lang w:val="uk-UA"/>
              </w:rPr>
              <w:t>Найменування суб’єкта інформаційних відносин</w:t>
            </w:r>
          </w:p>
        </w:tc>
        <w:tc>
          <w:tcPr>
            <w:tcW w:w="730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6E3713" w:rsidRPr="00617BB2" w:rsidRDefault="006E3713" w:rsidP="006D18CC">
            <w:pPr>
              <w:spacing w:line="240" w:lineRule="auto"/>
              <w:ind w:left="100"/>
              <w:jc w:val="center"/>
              <w:rPr>
                <w:b/>
                <w:sz w:val="24"/>
                <w:szCs w:val="26"/>
                <w:lang w:val="uk-UA"/>
              </w:rPr>
            </w:pPr>
            <w:r w:rsidRPr="00617BB2">
              <w:rPr>
                <w:b/>
                <w:sz w:val="24"/>
                <w:szCs w:val="26"/>
                <w:lang w:val="uk-UA"/>
              </w:rPr>
              <w:t>Перелік інформації, що отримується від суб’єктів інформаційних відносин</w:t>
            </w:r>
          </w:p>
        </w:tc>
      </w:tr>
      <w:tr w:rsidR="006E3713" w:rsidRPr="006E3713" w:rsidTr="006D18CC">
        <w:trPr>
          <w:trHeight w:val="755"/>
        </w:trPr>
        <w:tc>
          <w:tcPr>
            <w:tcW w:w="310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E3713" w:rsidRPr="00617BB2" w:rsidRDefault="006E3713" w:rsidP="006D18CC">
            <w:pPr>
              <w:spacing w:line="240" w:lineRule="auto"/>
              <w:ind w:left="100"/>
              <w:jc w:val="center"/>
              <w:rPr>
                <w:sz w:val="24"/>
                <w:szCs w:val="26"/>
                <w:lang w:val="uk-UA"/>
              </w:rPr>
            </w:pPr>
            <w:r w:rsidRPr="00617BB2">
              <w:rPr>
                <w:sz w:val="24"/>
                <w:szCs w:val="26"/>
                <w:lang w:val="uk-UA"/>
              </w:rPr>
              <w:t>МВС</w:t>
            </w:r>
          </w:p>
        </w:tc>
        <w:tc>
          <w:tcPr>
            <w:tcW w:w="730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E3713" w:rsidRPr="00617BB2" w:rsidRDefault="006E3713" w:rsidP="006D18CC">
            <w:pPr>
              <w:spacing w:line="240" w:lineRule="auto"/>
              <w:ind w:left="100"/>
              <w:rPr>
                <w:sz w:val="24"/>
                <w:szCs w:val="26"/>
                <w:lang w:val="uk-UA"/>
              </w:rPr>
            </w:pPr>
            <w:r w:rsidRPr="00617BB2">
              <w:rPr>
                <w:sz w:val="24"/>
                <w:szCs w:val="26"/>
                <w:lang w:val="uk-UA"/>
              </w:rPr>
              <w:t>про власників та/або користувачів рухомого майна, крім транспортних засобів та інших активів, які є об’єктом оподаткування,</w:t>
            </w:r>
            <w:r>
              <w:rPr>
                <w:sz w:val="24"/>
                <w:szCs w:val="26"/>
                <w:lang w:val="uk-UA"/>
              </w:rPr>
              <w:t xml:space="preserve"> </w:t>
            </w:r>
            <w:r w:rsidRPr="00617BB2">
              <w:rPr>
                <w:sz w:val="24"/>
                <w:szCs w:val="26"/>
                <w:lang w:val="uk-UA"/>
              </w:rPr>
              <w:t>про зареєстровані (зняті з обліку) колісні транспортні засоби та їх власників</w:t>
            </w:r>
          </w:p>
        </w:tc>
      </w:tr>
      <w:tr w:rsidR="006E3713" w:rsidRPr="006E3713" w:rsidTr="006D18CC">
        <w:trPr>
          <w:trHeight w:val="755"/>
        </w:trPr>
        <w:tc>
          <w:tcPr>
            <w:tcW w:w="310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E3713" w:rsidRPr="00617BB2" w:rsidRDefault="006E3713" w:rsidP="006D18CC">
            <w:pPr>
              <w:spacing w:line="240" w:lineRule="auto"/>
              <w:ind w:left="100"/>
              <w:jc w:val="center"/>
              <w:rPr>
                <w:sz w:val="24"/>
                <w:szCs w:val="26"/>
                <w:lang w:val="uk-UA"/>
              </w:rPr>
            </w:pPr>
            <w:r w:rsidRPr="00617BB2">
              <w:rPr>
                <w:sz w:val="24"/>
                <w:szCs w:val="26"/>
                <w:lang w:val="uk-UA"/>
              </w:rPr>
              <w:t>Мін’юст</w:t>
            </w:r>
          </w:p>
        </w:tc>
        <w:tc>
          <w:tcPr>
            <w:tcW w:w="730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E3713" w:rsidRPr="00617BB2" w:rsidRDefault="006E3713" w:rsidP="006D18CC">
            <w:pPr>
              <w:spacing w:line="240" w:lineRule="auto"/>
              <w:ind w:left="100"/>
              <w:rPr>
                <w:sz w:val="24"/>
                <w:szCs w:val="26"/>
                <w:lang w:val="uk-UA"/>
              </w:rPr>
            </w:pPr>
            <w:r w:rsidRPr="00617BB2">
              <w:rPr>
                <w:sz w:val="24"/>
                <w:szCs w:val="26"/>
                <w:lang w:val="uk-UA"/>
              </w:rPr>
              <w:t>про землевласників або землекористувачів, а також про об’єкти незавершеного будівництва,</w:t>
            </w:r>
            <w:r>
              <w:rPr>
                <w:sz w:val="24"/>
                <w:szCs w:val="26"/>
                <w:lang w:val="uk-UA"/>
              </w:rPr>
              <w:t xml:space="preserve"> </w:t>
            </w:r>
            <w:r w:rsidRPr="00617BB2">
              <w:rPr>
                <w:sz w:val="24"/>
                <w:szCs w:val="26"/>
                <w:lang w:val="uk-UA"/>
              </w:rPr>
              <w:t>про оподатковуване нерухоме майно, відмінне від земельної ділянки, щодо якого у фізичних осіб виникає або припиняється право власності,</w:t>
            </w:r>
            <w:r>
              <w:rPr>
                <w:sz w:val="24"/>
                <w:szCs w:val="26"/>
                <w:lang w:val="uk-UA"/>
              </w:rPr>
              <w:t xml:space="preserve"> </w:t>
            </w:r>
            <w:r w:rsidRPr="00617BB2">
              <w:rPr>
                <w:sz w:val="24"/>
                <w:szCs w:val="26"/>
                <w:lang w:val="uk-UA"/>
              </w:rPr>
              <w:t xml:space="preserve">інформація щодо родинних </w:t>
            </w:r>
            <w:proofErr w:type="spellStart"/>
            <w:r w:rsidRPr="00617BB2">
              <w:rPr>
                <w:sz w:val="24"/>
                <w:szCs w:val="26"/>
                <w:lang w:val="uk-UA"/>
              </w:rPr>
              <w:t>зв’язків</w:t>
            </w:r>
            <w:proofErr w:type="spellEnd"/>
            <w:r w:rsidRPr="00617BB2">
              <w:rPr>
                <w:sz w:val="24"/>
                <w:szCs w:val="26"/>
                <w:lang w:val="uk-UA"/>
              </w:rPr>
              <w:t xml:space="preserve"> родинних </w:t>
            </w:r>
            <w:proofErr w:type="spellStart"/>
            <w:r w:rsidRPr="00617BB2">
              <w:rPr>
                <w:sz w:val="24"/>
                <w:szCs w:val="26"/>
                <w:lang w:val="uk-UA"/>
              </w:rPr>
              <w:t>зв’язків</w:t>
            </w:r>
            <w:proofErr w:type="spellEnd"/>
            <w:r w:rsidRPr="00617BB2">
              <w:rPr>
                <w:sz w:val="24"/>
                <w:szCs w:val="26"/>
                <w:lang w:val="uk-UA"/>
              </w:rPr>
              <w:t xml:space="preserve"> для підтвердження чи спростування пов’язаності осіб</w:t>
            </w:r>
          </w:p>
        </w:tc>
      </w:tr>
      <w:tr w:rsidR="006E3713" w:rsidRPr="00617BB2" w:rsidTr="006D18CC">
        <w:trPr>
          <w:trHeight w:val="454"/>
        </w:trPr>
        <w:tc>
          <w:tcPr>
            <w:tcW w:w="310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E3713" w:rsidRPr="00617BB2" w:rsidRDefault="006E3713" w:rsidP="006D18CC">
            <w:pPr>
              <w:spacing w:line="240" w:lineRule="auto"/>
              <w:ind w:left="100"/>
              <w:jc w:val="center"/>
              <w:rPr>
                <w:sz w:val="24"/>
                <w:szCs w:val="26"/>
                <w:lang w:val="uk-UA"/>
              </w:rPr>
            </w:pPr>
            <w:proofErr w:type="spellStart"/>
            <w:r w:rsidRPr="00617BB2">
              <w:rPr>
                <w:sz w:val="24"/>
                <w:szCs w:val="26"/>
                <w:lang w:val="uk-UA"/>
              </w:rPr>
              <w:t>Держгеокадастр</w:t>
            </w:r>
            <w:proofErr w:type="spellEnd"/>
          </w:p>
        </w:tc>
        <w:tc>
          <w:tcPr>
            <w:tcW w:w="730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E3713" w:rsidRPr="00617BB2" w:rsidRDefault="006E3713" w:rsidP="006D18CC">
            <w:pPr>
              <w:spacing w:line="240" w:lineRule="auto"/>
              <w:ind w:left="100"/>
              <w:rPr>
                <w:sz w:val="24"/>
                <w:szCs w:val="26"/>
                <w:lang w:val="uk-UA"/>
              </w:rPr>
            </w:pPr>
            <w:r w:rsidRPr="00617BB2">
              <w:rPr>
                <w:sz w:val="24"/>
                <w:szCs w:val="26"/>
                <w:lang w:val="uk-UA"/>
              </w:rPr>
              <w:t>про земельні ділянки, зокрема про їх кадастровий номер дату реєстрації у Державному земельному кадастрі</w:t>
            </w:r>
          </w:p>
        </w:tc>
      </w:tr>
      <w:tr w:rsidR="006E3713" w:rsidRPr="006E3713" w:rsidTr="006D18CC">
        <w:trPr>
          <w:trHeight w:val="755"/>
        </w:trPr>
        <w:tc>
          <w:tcPr>
            <w:tcW w:w="310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E3713" w:rsidRPr="00617BB2" w:rsidRDefault="006E3713" w:rsidP="006D18CC">
            <w:pPr>
              <w:spacing w:line="240" w:lineRule="auto"/>
              <w:ind w:left="100"/>
              <w:jc w:val="center"/>
              <w:rPr>
                <w:sz w:val="24"/>
                <w:szCs w:val="26"/>
                <w:lang w:val="uk-UA"/>
              </w:rPr>
            </w:pPr>
            <w:r w:rsidRPr="00617BB2">
              <w:rPr>
                <w:sz w:val="24"/>
                <w:szCs w:val="26"/>
                <w:lang w:val="uk-UA"/>
              </w:rPr>
              <w:t>Адміністрація судноплавства</w:t>
            </w:r>
          </w:p>
        </w:tc>
        <w:tc>
          <w:tcPr>
            <w:tcW w:w="730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E3713" w:rsidRPr="00617BB2" w:rsidRDefault="006E3713" w:rsidP="006D18CC">
            <w:pPr>
              <w:spacing w:line="240" w:lineRule="auto"/>
              <w:ind w:left="100"/>
              <w:rPr>
                <w:sz w:val="24"/>
                <w:szCs w:val="26"/>
                <w:lang w:val="uk-UA"/>
              </w:rPr>
            </w:pPr>
            <w:r w:rsidRPr="00617BB2">
              <w:rPr>
                <w:sz w:val="24"/>
                <w:szCs w:val="26"/>
                <w:lang w:val="uk-UA"/>
              </w:rPr>
              <w:t>про реєстрацію (припинення реєстрації) суден у Державному судновому реєстрі України і Судновій книзі України, їх власників або фрахтувальників</w:t>
            </w:r>
          </w:p>
        </w:tc>
      </w:tr>
      <w:tr w:rsidR="006E3713" w:rsidRPr="006E3713" w:rsidTr="006D18CC">
        <w:trPr>
          <w:trHeight w:val="755"/>
        </w:trPr>
        <w:tc>
          <w:tcPr>
            <w:tcW w:w="3105" w:type="dxa"/>
            <w:tcBorders>
              <w:top w:val="nil"/>
              <w:left w:val="single" w:sz="7" w:space="0" w:color="000000"/>
              <w:bottom w:val="single" w:sz="4" w:space="0" w:color="auto"/>
              <w:right w:val="single" w:sz="7" w:space="0" w:color="000000"/>
            </w:tcBorders>
            <w:shd w:val="clear" w:color="auto" w:fill="auto"/>
            <w:tcMar>
              <w:top w:w="100" w:type="dxa"/>
              <w:left w:w="100" w:type="dxa"/>
              <w:bottom w:w="100" w:type="dxa"/>
              <w:right w:w="100" w:type="dxa"/>
            </w:tcMar>
          </w:tcPr>
          <w:p w:rsidR="006E3713" w:rsidRPr="00617BB2" w:rsidRDefault="006E3713" w:rsidP="006D18CC">
            <w:pPr>
              <w:spacing w:line="240" w:lineRule="auto"/>
              <w:ind w:left="100"/>
              <w:jc w:val="center"/>
              <w:rPr>
                <w:sz w:val="24"/>
                <w:szCs w:val="26"/>
                <w:lang w:val="uk-UA"/>
              </w:rPr>
            </w:pPr>
            <w:proofErr w:type="spellStart"/>
            <w:r w:rsidRPr="00617BB2">
              <w:rPr>
                <w:sz w:val="24"/>
                <w:szCs w:val="26"/>
                <w:lang w:val="uk-UA"/>
              </w:rPr>
              <w:t>Державіаслужба</w:t>
            </w:r>
            <w:proofErr w:type="spellEnd"/>
          </w:p>
        </w:tc>
        <w:tc>
          <w:tcPr>
            <w:tcW w:w="730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E3713" w:rsidRPr="00617BB2" w:rsidRDefault="006E3713" w:rsidP="006D18CC">
            <w:pPr>
              <w:spacing w:line="240" w:lineRule="auto"/>
              <w:ind w:left="100"/>
              <w:rPr>
                <w:sz w:val="24"/>
                <w:szCs w:val="26"/>
                <w:lang w:val="uk-UA"/>
              </w:rPr>
            </w:pPr>
            <w:r w:rsidRPr="00617BB2">
              <w:rPr>
                <w:sz w:val="24"/>
                <w:szCs w:val="26"/>
                <w:lang w:val="uk-UA"/>
              </w:rPr>
              <w:t>про повітряні судна, зареєстровані (зняті з реєстрації) у державному реєстрі цивільних повітряних суден України, та їх власників або експлуатантів</w:t>
            </w:r>
          </w:p>
        </w:tc>
      </w:tr>
      <w:tr w:rsidR="006E3713" w:rsidRPr="006E3713" w:rsidTr="006D18CC">
        <w:trPr>
          <w:trHeight w:val="1745"/>
        </w:trPr>
        <w:tc>
          <w:tcPr>
            <w:tcW w:w="310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E3713" w:rsidRPr="00617BB2" w:rsidRDefault="006E3713" w:rsidP="006D18CC">
            <w:pPr>
              <w:spacing w:line="240" w:lineRule="auto"/>
              <w:ind w:left="100"/>
              <w:jc w:val="center"/>
              <w:rPr>
                <w:sz w:val="24"/>
                <w:szCs w:val="26"/>
                <w:lang w:val="uk-UA"/>
              </w:rPr>
            </w:pPr>
            <w:r>
              <w:rPr>
                <w:noProof/>
                <w:sz w:val="24"/>
                <w:szCs w:val="26"/>
                <w:lang w:eastAsia="ru-RU"/>
              </w:rPr>
              <mc:AlternateContent>
                <mc:Choice Requires="wps">
                  <w:drawing>
                    <wp:anchor distT="0" distB="0" distL="114300" distR="114300" simplePos="0" relativeHeight="251659264" behindDoc="0" locked="0" layoutInCell="1" allowOverlap="1" wp14:anchorId="39A4652C" wp14:editId="72CA1ED9">
                      <wp:simplePos x="0" y="0"/>
                      <wp:positionH relativeFrom="column">
                        <wp:posOffset>1907540</wp:posOffset>
                      </wp:positionH>
                      <wp:positionV relativeFrom="paragraph">
                        <wp:posOffset>-65278</wp:posOffset>
                      </wp:positionV>
                      <wp:extent cx="4632960" cy="0"/>
                      <wp:effectExtent l="0" t="0" r="15240" b="19050"/>
                      <wp:wrapNone/>
                      <wp:docPr id="1" name="Пряма сполучна лінія 1"/>
                      <wp:cNvGraphicFramePr/>
                      <a:graphic xmlns:a="http://schemas.openxmlformats.org/drawingml/2006/main">
                        <a:graphicData uri="http://schemas.microsoft.com/office/word/2010/wordprocessingShape">
                          <wps:wsp>
                            <wps:cNvCnPr/>
                            <wps:spPr>
                              <a:xfrm>
                                <a:off x="0" y="0"/>
                                <a:ext cx="46329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C040A7" id="Пряма сполучна ліні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2pt,-5.15pt" to="5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" strokecolor="black [3213]" strokeweight=".5pt">
                      <v:stroke joinstyle="miter"/>
                    </v:line>
                  </w:pict>
                </mc:Fallback>
              </mc:AlternateContent>
            </w:r>
            <w:r>
              <w:rPr>
                <w:sz w:val="24"/>
                <w:szCs w:val="26"/>
                <w:lang w:val="uk-UA"/>
              </w:rPr>
              <w:t>о</w:t>
            </w:r>
            <w:r w:rsidRPr="00617BB2">
              <w:rPr>
                <w:sz w:val="24"/>
                <w:szCs w:val="26"/>
                <w:lang w:val="uk-UA"/>
              </w:rPr>
              <w:t>ргани ліцензування</w:t>
            </w:r>
          </w:p>
        </w:tc>
        <w:tc>
          <w:tcPr>
            <w:tcW w:w="7305" w:type="dxa"/>
            <w:tcBorders>
              <w:top w:val="nil"/>
              <w:left w:val="single" w:sz="8" w:space="0" w:color="000000"/>
              <w:bottom w:val="single" w:sz="7" w:space="0" w:color="000000"/>
              <w:right w:val="single" w:sz="7" w:space="0" w:color="000000"/>
            </w:tcBorders>
            <w:shd w:val="clear" w:color="auto" w:fill="auto"/>
            <w:tcMar>
              <w:top w:w="100" w:type="dxa"/>
              <w:left w:w="100" w:type="dxa"/>
              <w:bottom w:w="100" w:type="dxa"/>
              <w:right w:w="100" w:type="dxa"/>
            </w:tcMar>
          </w:tcPr>
          <w:p w:rsidR="006E3713" w:rsidRPr="00617BB2" w:rsidRDefault="006E3713" w:rsidP="006D18CC">
            <w:pPr>
              <w:spacing w:line="240" w:lineRule="auto"/>
              <w:ind w:left="100"/>
              <w:rPr>
                <w:sz w:val="24"/>
                <w:szCs w:val="26"/>
                <w:lang w:val="uk-UA"/>
              </w:rPr>
            </w:pPr>
            <w:r w:rsidRPr="00617BB2">
              <w:rPr>
                <w:sz w:val="24"/>
                <w:szCs w:val="26"/>
                <w:lang w:val="uk-UA"/>
              </w:rPr>
              <w:t>про ліцензії, зокрема повне найменування (прізвище, ім’я, по батькові (за наявності) та місцезнаходження (місце проживання) СГ, місце провадження господарської діяльності, вид господарської діяльності, на право провадження якого видана ліцензія, серія, номер і дата видачі ліцензії, дата прийняття і номер рішення про видачу ліцензії, строк дії, дані про анулювання ліцензії</w:t>
            </w:r>
          </w:p>
        </w:tc>
      </w:tr>
      <w:tr w:rsidR="006E3713" w:rsidRPr="00617BB2" w:rsidTr="006D18CC">
        <w:trPr>
          <w:trHeight w:val="707"/>
        </w:trPr>
        <w:tc>
          <w:tcPr>
            <w:tcW w:w="3105" w:type="dxa"/>
            <w:tcBorders>
              <w:top w:val="single" w:sz="8"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6E3713" w:rsidRPr="00617BB2" w:rsidRDefault="006E3713" w:rsidP="006D18CC">
            <w:pPr>
              <w:spacing w:line="240" w:lineRule="auto"/>
              <w:ind w:left="100"/>
              <w:jc w:val="center"/>
              <w:rPr>
                <w:sz w:val="24"/>
                <w:szCs w:val="26"/>
                <w:lang w:val="uk-UA"/>
              </w:rPr>
            </w:pPr>
            <w:r w:rsidRPr="00617BB2">
              <w:rPr>
                <w:sz w:val="24"/>
                <w:szCs w:val="26"/>
                <w:lang w:val="uk-UA"/>
              </w:rPr>
              <w:t>органи виконавчої влади та інші суб’єкти інформаційних відносин</w:t>
            </w:r>
          </w:p>
        </w:tc>
        <w:tc>
          <w:tcPr>
            <w:tcW w:w="730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E3713" w:rsidRPr="00617BB2" w:rsidRDefault="006E3713" w:rsidP="006D18CC">
            <w:pPr>
              <w:spacing w:line="240" w:lineRule="auto"/>
              <w:ind w:left="100"/>
              <w:rPr>
                <w:sz w:val="24"/>
                <w:szCs w:val="26"/>
                <w:lang w:val="uk-UA"/>
              </w:rPr>
            </w:pPr>
            <w:r w:rsidRPr="00617BB2">
              <w:rPr>
                <w:sz w:val="24"/>
                <w:szCs w:val="26"/>
                <w:lang w:val="uk-UA"/>
              </w:rPr>
              <w:t>про платників податків, інформацію пов’язану з їх реєстрацією, нарахуванням та сплатою податків і зборів, а також контролем за дотриманням податкового законодавства</w:t>
            </w:r>
          </w:p>
        </w:tc>
      </w:tr>
    </w:tbl>
    <w:p w:rsidR="006E3713" w:rsidRPr="00617BB2" w:rsidRDefault="006E3713" w:rsidP="006E3713">
      <w:pPr>
        <w:spacing w:line="240" w:lineRule="auto"/>
        <w:ind w:firstLine="567"/>
        <w:jc w:val="center"/>
        <w:rPr>
          <w:rFonts w:eastAsia="Times New Roman"/>
          <w:b/>
          <w:sz w:val="24"/>
          <w:szCs w:val="28"/>
          <w:lang w:val="uk-UA" w:eastAsia="ru-RU"/>
        </w:rPr>
      </w:pPr>
    </w:p>
    <w:p w:rsidR="006E3713" w:rsidRPr="004A73A4" w:rsidRDefault="006E3713" w:rsidP="006E3713">
      <w:pPr>
        <w:widowControl w:val="0"/>
        <w:spacing w:line="240" w:lineRule="auto"/>
        <w:ind w:left="5103"/>
        <w:contextualSpacing/>
        <w:jc w:val="left"/>
        <w:rPr>
          <w:rFonts w:eastAsia="Courier New"/>
          <w:color w:val="000000"/>
          <w:szCs w:val="28"/>
          <w:lang w:val="uk-UA" w:eastAsia="uk-UA"/>
        </w:rPr>
      </w:pPr>
      <w:r>
        <w:rPr>
          <w:rFonts w:eastAsia="Courier New"/>
          <w:color w:val="000000"/>
          <w:szCs w:val="28"/>
          <w:shd w:val="clear" w:color="auto" w:fill="FFFFFF"/>
          <w:lang w:val="uk-UA" w:eastAsia="uk-UA"/>
        </w:rPr>
        <w:lastRenderedPageBreak/>
        <w:t xml:space="preserve">Додаток </w:t>
      </w:r>
      <w:r w:rsidRPr="00655107">
        <w:rPr>
          <w:rFonts w:eastAsia="Courier New"/>
          <w:color w:val="000000"/>
          <w:szCs w:val="28"/>
          <w:shd w:val="clear" w:color="auto" w:fill="FFFFFF"/>
          <w:lang w:eastAsia="uk-UA"/>
        </w:rPr>
        <w:t>3</w:t>
      </w:r>
      <w:r>
        <w:rPr>
          <w:rFonts w:eastAsia="Courier New"/>
          <w:color w:val="000000"/>
          <w:szCs w:val="28"/>
          <w:shd w:val="clear" w:color="auto" w:fill="FFFFFF"/>
          <w:lang w:val="uk-UA" w:eastAsia="uk-UA"/>
        </w:rPr>
        <w:br/>
      </w:r>
      <w:r>
        <w:rPr>
          <w:rFonts w:eastAsia="Courier New"/>
          <w:color w:val="000000"/>
          <w:szCs w:val="28"/>
          <w:lang w:val="uk-UA" w:eastAsia="uk-UA"/>
        </w:rPr>
        <w:t xml:space="preserve">до Методики проведення перевірки загальних положень податкового та іншого законодавства України, контроль за дотриманням якого </w:t>
      </w:r>
      <w:r w:rsidRPr="004A73A4">
        <w:rPr>
          <w:rFonts w:eastAsia="Courier New"/>
          <w:color w:val="000000"/>
          <w:szCs w:val="28"/>
          <w:lang w:val="uk-UA" w:eastAsia="uk-UA"/>
        </w:rPr>
        <w:t xml:space="preserve">покладено на податкові органи </w:t>
      </w:r>
    </w:p>
    <w:p w:rsidR="006E3713" w:rsidRDefault="006E3713" w:rsidP="006E3713">
      <w:pPr>
        <w:widowControl w:val="0"/>
        <w:spacing w:line="240" w:lineRule="auto"/>
        <w:ind w:left="5103"/>
        <w:contextualSpacing/>
        <w:jc w:val="left"/>
        <w:rPr>
          <w:rFonts w:eastAsia="Courier New"/>
          <w:color w:val="000000"/>
          <w:szCs w:val="28"/>
          <w:lang w:val="uk-UA" w:eastAsia="uk-UA"/>
        </w:rPr>
      </w:pPr>
      <w:r w:rsidRPr="004A73A4">
        <w:rPr>
          <w:rFonts w:eastAsia="Courier New"/>
          <w:color w:val="000000"/>
          <w:szCs w:val="28"/>
          <w:lang w:val="uk-UA" w:eastAsia="uk-UA"/>
        </w:rPr>
        <w:t>(</w:t>
      </w:r>
      <w:r>
        <w:rPr>
          <w:rFonts w:eastAsia="Courier New"/>
          <w:color w:val="000000"/>
          <w:szCs w:val="28"/>
          <w:lang w:val="uk-UA" w:eastAsia="uk-UA"/>
        </w:rPr>
        <w:t xml:space="preserve">пункт 6 </w:t>
      </w:r>
      <w:r w:rsidRPr="006B0105">
        <w:rPr>
          <w:rFonts w:eastAsia="Courier New"/>
          <w:color w:val="000000"/>
          <w:szCs w:val="28"/>
          <w:lang w:val="uk-UA" w:eastAsia="uk-UA"/>
        </w:rPr>
        <w:t>розділ</w:t>
      </w:r>
      <w:r>
        <w:rPr>
          <w:rFonts w:eastAsia="Courier New"/>
          <w:color w:val="000000"/>
          <w:szCs w:val="28"/>
          <w:lang w:val="uk-UA" w:eastAsia="uk-UA"/>
        </w:rPr>
        <w:t>у</w:t>
      </w:r>
      <w:r w:rsidRPr="006B0105">
        <w:rPr>
          <w:rFonts w:eastAsia="Courier New"/>
          <w:color w:val="000000"/>
          <w:szCs w:val="28"/>
          <w:lang w:val="uk-UA" w:eastAsia="uk-UA"/>
        </w:rPr>
        <w:t xml:space="preserve"> </w:t>
      </w:r>
      <w:r w:rsidRPr="00FF7C81">
        <w:rPr>
          <w:rFonts w:eastAsia="Times New Roman"/>
          <w:szCs w:val="28"/>
          <w:lang w:val="en-US" w:eastAsia="ru-RU"/>
        </w:rPr>
        <w:t>V</w:t>
      </w:r>
      <w:r w:rsidRPr="004A73A4">
        <w:rPr>
          <w:rFonts w:eastAsia="Courier New"/>
          <w:color w:val="000000"/>
          <w:szCs w:val="28"/>
          <w:lang w:val="uk-UA" w:eastAsia="uk-UA"/>
        </w:rPr>
        <w:t>)</w:t>
      </w:r>
    </w:p>
    <w:p w:rsidR="006E3713" w:rsidRPr="00EB2AEC" w:rsidRDefault="006E3713" w:rsidP="006E3713">
      <w:pPr>
        <w:widowControl w:val="0"/>
        <w:spacing w:line="240" w:lineRule="auto"/>
        <w:contextualSpacing/>
        <w:jc w:val="left"/>
        <w:rPr>
          <w:rFonts w:eastAsia="Courier New"/>
          <w:color w:val="000000"/>
          <w:sz w:val="12"/>
          <w:szCs w:val="28"/>
          <w:lang w:eastAsia="uk-UA"/>
        </w:rPr>
      </w:pPr>
    </w:p>
    <w:p w:rsidR="006E3713" w:rsidRPr="00B124CF" w:rsidRDefault="006E3713" w:rsidP="006E3713">
      <w:pPr>
        <w:tabs>
          <w:tab w:val="left" w:pos="6064"/>
        </w:tabs>
        <w:spacing w:line="240" w:lineRule="auto"/>
        <w:jc w:val="right"/>
        <w:rPr>
          <w:rFonts w:eastAsia="Times New Roman"/>
          <w:b/>
          <w:szCs w:val="28"/>
          <w:lang w:val="uk-UA" w:eastAsia="ru-RU"/>
        </w:rPr>
      </w:pPr>
      <w:r w:rsidRPr="00B124CF">
        <w:rPr>
          <w:rFonts w:eastAsia="Times New Roman"/>
          <w:b/>
          <w:i/>
          <w:szCs w:val="28"/>
          <w:lang w:val="uk-UA" w:eastAsia="ru-RU"/>
        </w:rPr>
        <w:t>Примірний</w:t>
      </w:r>
    </w:p>
    <w:p w:rsidR="006E3713" w:rsidRPr="004A73A4" w:rsidRDefault="006E3713" w:rsidP="006E3713">
      <w:pPr>
        <w:tabs>
          <w:tab w:val="left" w:pos="6064"/>
        </w:tabs>
        <w:spacing w:line="240" w:lineRule="auto"/>
        <w:jc w:val="left"/>
        <w:rPr>
          <w:rFonts w:eastAsia="Times New Roman"/>
          <w:b/>
          <w:szCs w:val="28"/>
          <w:lang w:eastAsia="ru-RU"/>
        </w:rPr>
      </w:pPr>
    </w:p>
    <w:p w:rsidR="006E3713" w:rsidRPr="00612E0C" w:rsidRDefault="006E3713" w:rsidP="006E3713">
      <w:pPr>
        <w:spacing w:line="240" w:lineRule="auto"/>
        <w:jc w:val="center"/>
        <w:rPr>
          <w:rFonts w:eastAsia="Times New Roman"/>
          <w:szCs w:val="28"/>
          <w:lang w:val="uk-UA" w:eastAsia="ru-RU"/>
        </w:rPr>
      </w:pPr>
      <w:r w:rsidRPr="00612E0C">
        <w:rPr>
          <w:rFonts w:eastAsia="Times New Roman"/>
          <w:szCs w:val="28"/>
          <w:lang w:val="uk-UA" w:eastAsia="ru-RU"/>
        </w:rPr>
        <w:t>Перелік операцій,</w:t>
      </w:r>
    </w:p>
    <w:p w:rsidR="006E3713" w:rsidRPr="00612E0C" w:rsidRDefault="006E3713" w:rsidP="006E3713">
      <w:pPr>
        <w:spacing w:line="240" w:lineRule="auto"/>
        <w:jc w:val="center"/>
        <w:rPr>
          <w:rFonts w:eastAsia="Times New Roman"/>
          <w:szCs w:val="28"/>
          <w:lang w:val="uk-UA" w:eastAsia="ru-RU"/>
        </w:rPr>
      </w:pPr>
      <w:r w:rsidRPr="00612E0C">
        <w:rPr>
          <w:rFonts w:eastAsia="Times New Roman"/>
          <w:szCs w:val="28"/>
          <w:lang w:val="uk-UA" w:eastAsia="ru-RU"/>
        </w:rPr>
        <w:t>що можуть свідчити про ризики в діяльності платника податків</w:t>
      </w:r>
    </w:p>
    <w:p w:rsidR="006E3713" w:rsidRPr="004A73A4" w:rsidRDefault="006E3713" w:rsidP="006E3713">
      <w:pPr>
        <w:spacing w:line="240" w:lineRule="auto"/>
        <w:ind w:firstLine="567"/>
        <w:rPr>
          <w:rFonts w:eastAsia="Times New Roman"/>
          <w:szCs w:val="28"/>
          <w:lang w:eastAsia="ru-RU"/>
        </w:rPr>
      </w:pPr>
    </w:p>
    <w:p w:rsidR="006E3713" w:rsidRPr="009344BF" w:rsidRDefault="006E3713" w:rsidP="006E3713">
      <w:pPr>
        <w:spacing w:line="240" w:lineRule="auto"/>
        <w:ind w:firstLine="567"/>
        <w:rPr>
          <w:rFonts w:eastAsia="Times New Roman"/>
          <w:szCs w:val="28"/>
          <w:lang w:eastAsia="ru-RU"/>
        </w:rPr>
      </w:pPr>
      <w:r w:rsidRPr="009344BF">
        <w:rPr>
          <w:rFonts w:eastAsia="Times New Roman"/>
          <w:szCs w:val="28"/>
          <w:lang w:val="uk-UA" w:eastAsia="ru-RU"/>
        </w:rPr>
        <w:t>До ризикових операції можуть належати</w:t>
      </w:r>
      <w:r w:rsidRPr="009344BF">
        <w:rPr>
          <w:rFonts w:eastAsia="Times New Roman"/>
          <w:szCs w:val="28"/>
          <w:lang w:eastAsia="ru-RU"/>
        </w:rPr>
        <w:t>:</w:t>
      </w:r>
    </w:p>
    <w:tbl>
      <w:tblPr>
        <w:tblStyle w:val="a3"/>
        <w:tblW w:w="10207" w:type="dxa"/>
        <w:tblInd w:w="-318" w:type="dxa"/>
        <w:tblLook w:val="04A0" w:firstRow="1" w:lastRow="0" w:firstColumn="1" w:lastColumn="0" w:noHBand="0" w:noVBand="1"/>
      </w:tblPr>
      <w:tblGrid>
        <w:gridCol w:w="817"/>
        <w:gridCol w:w="9390"/>
      </w:tblGrid>
      <w:tr w:rsidR="006E3713" w:rsidRPr="009344BF" w:rsidTr="006D18CC">
        <w:tc>
          <w:tcPr>
            <w:tcW w:w="817" w:type="dxa"/>
            <w:vAlign w:val="center"/>
          </w:tcPr>
          <w:p w:rsidR="006E3713" w:rsidRPr="009344BF" w:rsidRDefault="006E3713" w:rsidP="006D18CC">
            <w:pPr>
              <w:spacing w:line="240" w:lineRule="auto"/>
              <w:jc w:val="center"/>
              <w:rPr>
                <w:rFonts w:eastAsia="Times New Roman"/>
                <w:b/>
                <w:sz w:val="24"/>
                <w:szCs w:val="28"/>
                <w:lang w:eastAsia="ru-RU"/>
              </w:rPr>
            </w:pPr>
            <w:r w:rsidRPr="009344BF">
              <w:rPr>
                <w:rFonts w:eastAsia="Times New Roman"/>
                <w:b/>
                <w:sz w:val="24"/>
                <w:szCs w:val="28"/>
                <w:lang w:eastAsia="ru-RU"/>
              </w:rPr>
              <w:t>№ з/п</w:t>
            </w:r>
          </w:p>
        </w:tc>
        <w:tc>
          <w:tcPr>
            <w:tcW w:w="9390" w:type="dxa"/>
            <w:vAlign w:val="center"/>
          </w:tcPr>
          <w:p w:rsidR="006E3713" w:rsidRPr="009344BF" w:rsidRDefault="006E3713" w:rsidP="006D18CC">
            <w:pPr>
              <w:spacing w:line="240" w:lineRule="auto"/>
              <w:jc w:val="center"/>
              <w:rPr>
                <w:rFonts w:eastAsia="Times New Roman"/>
                <w:b/>
                <w:sz w:val="24"/>
                <w:szCs w:val="28"/>
                <w:lang w:eastAsia="ru-RU"/>
              </w:rPr>
            </w:pPr>
            <w:r w:rsidRPr="009344BF">
              <w:rPr>
                <w:rFonts w:eastAsia="Times New Roman"/>
                <w:b/>
                <w:sz w:val="24"/>
                <w:szCs w:val="28"/>
                <w:lang w:eastAsia="ru-RU"/>
              </w:rPr>
              <w:t>Найменування</w:t>
            </w:r>
          </w:p>
        </w:tc>
      </w:tr>
      <w:tr w:rsidR="006E3713" w:rsidRPr="009344BF" w:rsidTr="006D18CC">
        <w:tc>
          <w:tcPr>
            <w:tcW w:w="817" w:type="dxa"/>
            <w:vAlign w:val="center"/>
          </w:tcPr>
          <w:p w:rsidR="006E3713" w:rsidRPr="009344BF" w:rsidRDefault="006E3713" w:rsidP="006D18CC">
            <w:pPr>
              <w:tabs>
                <w:tab w:val="left" w:pos="568"/>
              </w:tabs>
              <w:jc w:val="center"/>
              <w:rPr>
                <w:i/>
                <w:sz w:val="24"/>
                <w:szCs w:val="24"/>
              </w:rPr>
            </w:pPr>
            <w:r>
              <w:rPr>
                <w:i/>
                <w:sz w:val="24"/>
                <w:szCs w:val="24"/>
              </w:rPr>
              <w:t>1</w:t>
            </w:r>
          </w:p>
        </w:tc>
        <w:tc>
          <w:tcPr>
            <w:tcW w:w="9390" w:type="dxa"/>
          </w:tcPr>
          <w:p w:rsidR="006E3713" w:rsidRPr="009344BF" w:rsidRDefault="006E3713" w:rsidP="006D18CC">
            <w:pPr>
              <w:pStyle w:val="rvps2"/>
              <w:shd w:val="clear" w:color="auto" w:fill="FFFFFF"/>
              <w:spacing w:after="150"/>
              <w:jc w:val="both"/>
              <w:rPr>
                <w:color w:val="000000"/>
              </w:rPr>
            </w:pPr>
            <w:r w:rsidRPr="009344BF">
              <w:rPr>
                <w:color w:val="000000"/>
              </w:rPr>
              <w:t>Здійснення зовнішньоекономічних операцій через нерезидентів - засновників та нерезидентів, зареєстрованих в офшорних зонах, за непрямими поставками у сумі операцій понад 5 млн грн або понад 5 відсотків загальних обсягів постачання, але не менше 100 тис. грн</w:t>
            </w:r>
          </w:p>
        </w:tc>
      </w:tr>
      <w:tr w:rsidR="006E3713" w:rsidRPr="006E3713" w:rsidTr="006D18CC">
        <w:tc>
          <w:tcPr>
            <w:tcW w:w="817" w:type="dxa"/>
            <w:vAlign w:val="center"/>
          </w:tcPr>
          <w:p w:rsidR="006E3713" w:rsidRPr="009344BF" w:rsidRDefault="006E3713" w:rsidP="006D18CC">
            <w:pPr>
              <w:tabs>
                <w:tab w:val="left" w:pos="568"/>
              </w:tabs>
              <w:spacing w:line="240" w:lineRule="auto"/>
              <w:jc w:val="center"/>
              <w:rPr>
                <w:i/>
                <w:iCs/>
                <w:sz w:val="24"/>
                <w:szCs w:val="24"/>
              </w:rPr>
            </w:pPr>
            <w:r>
              <w:rPr>
                <w:i/>
                <w:iCs/>
                <w:sz w:val="24"/>
                <w:szCs w:val="24"/>
              </w:rPr>
              <w:t>2</w:t>
            </w:r>
          </w:p>
        </w:tc>
        <w:tc>
          <w:tcPr>
            <w:tcW w:w="9390" w:type="dxa"/>
          </w:tcPr>
          <w:p w:rsidR="006E3713" w:rsidRPr="009344BF" w:rsidRDefault="006E3713" w:rsidP="006D18CC">
            <w:pPr>
              <w:pStyle w:val="rvps2"/>
              <w:shd w:val="clear" w:color="auto" w:fill="FFFFFF"/>
              <w:spacing w:after="150"/>
              <w:jc w:val="both"/>
              <w:rPr>
                <w:color w:val="000000"/>
              </w:rPr>
            </w:pPr>
            <w:r w:rsidRPr="009344BF">
              <w:rPr>
                <w:color w:val="000000"/>
              </w:rPr>
              <w:t>Здійснення експортних операцій щодо товарів, нетипових для основного виду діяльності підприємства (нетиповий експорт), у сумі понад 5 млн грн або понад 5 відсотків загальних обсягів постачання, але не менше 100 тис. грн</w:t>
            </w:r>
          </w:p>
        </w:tc>
      </w:tr>
      <w:tr w:rsidR="006E3713" w:rsidRPr="006E3713" w:rsidTr="006D18CC">
        <w:tc>
          <w:tcPr>
            <w:tcW w:w="817" w:type="dxa"/>
            <w:vAlign w:val="center"/>
          </w:tcPr>
          <w:p w:rsidR="006E3713" w:rsidRPr="00BD6483" w:rsidRDefault="006E3713" w:rsidP="006D18CC">
            <w:pPr>
              <w:tabs>
                <w:tab w:val="left" w:pos="568"/>
              </w:tabs>
              <w:spacing w:line="240" w:lineRule="auto"/>
              <w:jc w:val="center"/>
              <w:rPr>
                <w:i/>
                <w:iCs/>
                <w:sz w:val="24"/>
                <w:szCs w:val="24"/>
                <w:lang w:val="en-US"/>
              </w:rPr>
            </w:pPr>
            <w:r>
              <w:rPr>
                <w:i/>
                <w:iCs/>
                <w:sz w:val="24"/>
                <w:szCs w:val="24"/>
                <w:lang w:val="en-US"/>
              </w:rPr>
              <w:t>3</w:t>
            </w:r>
          </w:p>
        </w:tc>
        <w:tc>
          <w:tcPr>
            <w:tcW w:w="9390" w:type="dxa"/>
          </w:tcPr>
          <w:p w:rsidR="006E3713" w:rsidRPr="009344BF" w:rsidRDefault="006E3713" w:rsidP="006D18CC">
            <w:pPr>
              <w:pStyle w:val="rvps2"/>
              <w:shd w:val="clear" w:color="auto" w:fill="FFFFFF"/>
              <w:jc w:val="both"/>
              <w:rPr>
                <w:color w:val="000000"/>
              </w:rPr>
            </w:pPr>
            <w:r w:rsidRPr="009344BF">
              <w:rPr>
                <w:color w:val="000000"/>
              </w:rPr>
              <w:t>Наявність інформації щодо здійснення платником податків операцій з купівлі-продажу та інших способів відчуження цінних паперів, емітенти яких за рішенням Національної комісії з цінних паперів та фондового ринку включені до списку емітентів, що мають ознаки фіктивності</w:t>
            </w:r>
          </w:p>
        </w:tc>
      </w:tr>
      <w:tr w:rsidR="006E3713" w:rsidRPr="006E3713" w:rsidTr="006D18CC">
        <w:tc>
          <w:tcPr>
            <w:tcW w:w="817" w:type="dxa"/>
            <w:vAlign w:val="center"/>
          </w:tcPr>
          <w:p w:rsidR="006E3713" w:rsidRPr="00BD6483" w:rsidRDefault="006E3713" w:rsidP="006D18CC">
            <w:pPr>
              <w:tabs>
                <w:tab w:val="left" w:pos="568"/>
              </w:tabs>
              <w:spacing w:line="240" w:lineRule="auto"/>
              <w:jc w:val="center"/>
              <w:rPr>
                <w:i/>
                <w:iCs/>
                <w:sz w:val="24"/>
                <w:szCs w:val="24"/>
                <w:lang w:val="en-US"/>
              </w:rPr>
            </w:pPr>
            <w:r>
              <w:rPr>
                <w:i/>
                <w:iCs/>
                <w:sz w:val="24"/>
                <w:szCs w:val="24"/>
                <w:lang w:val="en-US"/>
              </w:rPr>
              <w:t>4</w:t>
            </w:r>
          </w:p>
        </w:tc>
        <w:tc>
          <w:tcPr>
            <w:tcW w:w="9390" w:type="dxa"/>
          </w:tcPr>
          <w:p w:rsidR="006E3713" w:rsidRPr="009344BF" w:rsidRDefault="006E3713" w:rsidP="006D18CC">
            <w:pPr>
              <w:pStyle w:val="rvps2"/>
              <w:shd w:val="clear" w:color="auto" w:fill="FFFFFF"/>
              <w:spacing w:after="150"/>
              <w:jc w:val="both"/>
            </w:pPr>
            <w:r w:rsidRPr="009344BF">
              <w:t>Різниці, що виникають при формуванні резервів (забезпечень), та різниці, які зменшують фінансовий результат, у сумі становлять понад 30 відсотків різниць, на які збільшується фінансовий результат</w:t>
            </w:r>
          </w:p>
        </w:tc>
      </w:tr>
      <w:tr w:rsidR="006E3713" w:rsidRPr="009344BF" w:rsidTr="006D18CC">
        <w:tc>
          <w:tcPr>
            <w:tcW w:w="817" w:type="dxa"/>
            <w:vAlign w:val="center"/>
          </w:tcPr>
          <w:p w:rsidR="006E3713" w:rsidRPr="00BD6483" w:rsidRDefault="006E3713" w:rsidP="006D18CC">
            <w:pPr>
              <w:tabs>
                <w:tab w:val="left" w:pos="568"/>
              </w:tabs>
              <w:jc w:val="center"/>
              <w:rPr>
                <w:i/>
                <w:sz w:val="24"/>
                <w:szCs w:val="24"/>
                <w:lang w:val="en-US"/>
              </w:rPr>
            </w:pPr>
            <w:r>
              <w:rPr>
                <w:i/>
                <w:sz w:val="24"/>
                <w:szCs w:val="24"/>
                <w:lang w:val="en-US"/>
              </w:rPr>
              <w:t>5</w:t>
            </w:r>
          </w:p>
        </w:tc>
        <w:tc>
          <w:tcPr>
            <w:tcW w:w="9390" w:type="dxa"/>
            <w:vAlign w:val="center"/>
          </w:tcPr>
          <w:p w:rsidR="006E3713" w:rsidRPr="009344BF" w:rsidRDefault="006E3713" w:rsidP="006D18CC">
            <w:pPr>
              <w:widowControl w:val="0"/>
              <w:tabs>
                <w:tab w:val="left" w:pos="650"/>
              </w:tabs>
              <w:autoSpaceDE w:val="0"/>
              <w:autoSpaceDN w:val="0"/>
              <w:spacing w:line="240" w:lineRule="auto"/>
              <w:ind w:left="36" w:hanging="36"/>
              <w:outlineLvl w:val="0"/>
              <w:rPr>
                <w:sz w:val="24"/>
              </w:rPr>
            </w:pPr>
            <w:bookmarkStart w:id="1" w:name="_Toc509910121"/>
            <w:bookmarkStart w:id="2" w:name="_Toc514074812"/>
            <w:bookmarkStart w:id="3" w:name="_Toc516589341"/>
            <w:bookmarkStart w:id="4" w:name="_Toc517361413"/>
            <w:bookmarkStart w:id="5" w:name="_Toc524514307"/>
            <w:bookmarkStart w:id="6" w:name="_Toc524693728"/>
            <w:bookmarkStart w:id="7" w:name="_Toc525749179"/>
            <w:bookmarkStart w:id="8" w:name="_Toc526768136"/>
            <w:bookmarkStart w:id="9" w:name="_Toc526840564"/>
            <w:bookmarkStart w:id="10" w:name="_Toc528836152"/>
            <w:r w:rsidRPr="009344BF">
              <w:rPr>
                <w:sz w:val="24"/>
              </w:rPr>
              <w:t>Наявність інформації про не підтвердження реального здійснення операції з придбання із сумою податку на додану вартість понад 1 млн грн або понад 5 відсотків загального обсягу податкового кредиту, але не менше 100 тис. грн</w:t>
            </w:r>
            <w:bookmarkEnd w:id="1"/>
            <w:bookmarkEnd w:id="2"/>
            <w:bookmarkEnd w:id="3"/>
            <w:bookmarkEnd w:id="4"/>
            <w:bookmarkEnd w:id="5"/>
            <w:bookmarkEnd w:id="6"/>
            <w:bookmarkEnd w:id="7"/>
            <w:bookmarkEnd w:id="8"/>
            <w:bookmarkEnd w:id="9"/>
            <w:bookmarkEnd w:id="10"/>
          </w:p>
        </w:tc>
      </w:tr>
      <w:tr w:rsidR="006E3713" w:rsidRPr="009344BF" w:rsidTr="006D18CC">
        <w:tc>
          <w:tcPr>
            <w:tcW w:w="817" w:type="dxa"/>
            <w:vAlign w:val="center"/>
          </w:tcPr>
          <w:p w:rsidR="006E3713" w:rsidRPr="00BD6483" w:rsidRDefault="006E3713" w:rsidP="006D18CC">
            <w:pPr>
              <w:tabs>
                <w:tab w:val="left" w:pos="568"/>
              </w:tabs>
              <w:spacing w:line="240" w:lineRule="auto"/>
              <w:jc w:val="center"/>
              <w:rPr>
                <w:i/>
                <w:iCs/>
                <w:sz w:val="24"/>
                <w:szCs w:val="24"/>
                <w:lang w:val="en-US"/>
              </w:rPr>
            </w:pPr>
            <w:r>
              <w:rPr>
                <w:i/>
                <w:iCs/>
                <w:sz w:val="24"/>
                <w:szCs w:val="24"/>
                <w:lang w:val="en-US"/>
              </w:rPr>
              <w:t>6</w:t>
            </w:r>
          </w:p>
        </w:tc>
        <w:tc>
          <w:tcPr>
            <w:tcW w:w="9390" w:type="dxa"/>
          </w:tcPr>
          <w:p w:rsidR="006E3713" w:rsidRPr="009344BF" w:rsidRDefault="006E3713" w:rsidP="006D18CC">
            <w:pPr>
              <w:pStyle w:val="rvps2"/>
              <w:shd w:val="clear" w:color="auto" w:fill="FFFFFF"/>
              <w:spacing w:after="150"/>
              <w:jc w:val="both"/>
              <w:rPr>
                <w:color w:val="000000"/>
              </w:rPr>
            </w:pPr>
            <w:r w:rsidRPr="009344BF">
              <w:rPr>
                <w:color w:val="000000"/>
              </w:rPr>
              <w:t xml:space="preserve">Нарахування та виплата доходів за ознакою 157 (дохід, виплачений </w:t>
            </w:r>
            <w:proofErr w:type="spellStart"/>
            <w:r w:rsidRPr="009344BF">
              <w:rPr>
                <w:color w:val="000000"/>
              </w:rPr>
              <w:t>самозайнятій</w:t>
            </w:r>
            <w:proofErr w:type="spellEnd"/>
            <w:r w:rsidRPr="009344BF">
              <w:rPr>
                <w:color w:val="000000"/>
              </w:rPr>
              <w:t xml:space="preserve"> особі), визначеною </w:t>
            </w:r>
            <w:hyperlink r:id="rId5" w:anchor="n113" w:tgtFrame="_blank" w:history="1">
              <w:r w:rsidRPr="009344BF">
                <w:rPr>
                  <w:rStyle w:val="a6"/>
                  <w:color w:val="000000" w:themeColor="text1"/>
                </w:rPr>
                <w:t>Довідником ознак доходів</w:t>
              </w:r>
            </w:hyperlink>
            <w:r w:rsidRPr="009344BF">
              <w:rPr>
                <w:color w:val="000000"/>
              </w:rPr>
              <w:t>, у сумі понад 5 відсотків загального обсягу доходу від будь-якої діяльності (за вирахуванням непрямих податків), визначеного за правилами бухгалтерського обліку</w:t>
            </w:r>
          </w:p>
        </w:tc>
      </w:tr>
      <w:tr w:rsidR="006E3713" w:rsidRPr="009344BF" w:rsidTr="006D18CC">
        <w:tc>
          <w:tcPr>
            <w:tcW w:w="817" w:type="dxa"/>
            <w:vAlign w:val="center"/>
          </w:tcPr>
          <w:p w:rsidR="006E3713" w:rsidRPr="00BD6483" w:rsidRDefault="006E3713" w:rsidP="006D18CC">
            <w:pPr>
              <w:tabs>
                <w:tab w:val="left" w:pos="568"/>
              </w:tabs>
              <w:spacing w:line="240" w:lineRule="auto"/>
              <w:jc w:val="center"/>
              <w:rPr>
                <w:i/>
                <w:iCs/>
                <w:sz w:val="24"/>
                <w:szCs w:val="24"/>
                <w:lang w:val="en-US"/>
              </w:rPr>
            </w:pPr>
            <w:r>
              <w:rPr>
                <w:i/>
                <w:iCs/>
                <w:sz w:val="24"/>
                <w:szCs w:val="24"/>
                <w:lang w:val="en-US"/>
              </w:rPr>
              <w:t>7</w:t>
            </w:r>
          </w:p>
        </w:tc>
        <w:tc>
          <w:tcPr>
            <w:tcW w:w="9390" w:type="dxa"/>
          </w:tcPr>
          <w:p w:rsidR="006E3713" w:rsidRPr="009344BF" w:rsidRDefault="006E3713" w:rsidP="006D18CC">
            <w:pPr>
              <w:pStyle w:val="rvps2"/>
              <w:shd w:val="clear" w:color="auto" w:fill="FFFFFF"/>
              <w:spacing w:after="150"/>
              <w:jc w:val="both"/>
              <w:rPr>
                <w:color w:val="000000"/>
              </w:rPr>
            </w:pPr>
            <w:r w:rsidRPr="009344BF">
              <w:rPr>
                <w:color w:val="000000"/>
              </w:rPr>
              <w:t>Наявність інформації про об’єкти оподаткування у платника податків, який не сплачує плату за землю або сплачує її в неповному обсязі, а також задекларував податкові зобов’язання без документів, які надають право використовувати земельні ділянки</w:t>
            </w:r>
          </w:p>
        </w:tc>
      </w:tr>
      <w:tr w:rsidR="006E3713" w:rsidRPr="006E3713" w:rsidTr="006D18CC">
        <w:tc>
          <w:tcPr>
            <w:tcW w:w="817" w:type="dxa"/>
            <w:vAlign w:val="center"/>
          </w:tcPr>
          <w:p w:rsidR="006E3713" w:rsidRPr="00BD6483" w:rsidRDefault="006E3713" w:rsidP="006D18CC">
            <w:pPr>
              <w:spacing w:line="240" w:lineRule="auto"/>
              <w:jc w:val="center"/>
              <w:rPr>
                <w:rFonts w:eastAsia="Times New Roman"/>
                <w:i/>
                <w:sz w:val="24"/>
                <w:szCs w:val="24"/>
                <w:lang w:val="en-US" w:eastAsia="ru-RU"/>
              </w:rPr>
            </w:pPr>
            <w:r>
              <w:rPr>
                <w:rFonts w:eastAsia="Times New Roman"/>
                <w:i/>
                <w:sz w:val="24"/>
                <w:szCs w:val="24"/>
                <w:lang w:val="en-US" w:eastAsia="ru-RU"/>
              </w:rPr>
              <w:t>8</w:t>
            </w:r>
          </w:p>
        </w:tc>
        <w:tc>
          <w:tcPr>
            <w:tcW w:w="9390" w:type="dxa"/>
          </w:tcPr>
          <w:p w:rsidR="006E3713" w:rsidRPr="00655107" w:rsidRDefault="006E3713" w:rsidP="006D18CC">
            <w:pPr>
              <w:pStyle w:val="rvps2"/>
              <w:shd w:val="clear" w:color="auto" w:fill="FFFFFF"/>
              <w:spacing w:after="150"/>
              <w:jc w:val="both"/>
              <w:rPr>
                <w:color w:val="000000"/>
              </w:rPr>
            </w:pPr>
            <w:r w:rsidRPr="00655107">
              <w:rPr>
                <w:color w:val="000000"/>
              </w:rPr>
              <w:t>Наявність негативних рішень комісії ДПС в системі автоматизованого моніторингу відповідності податкових накладних критеріям оцінки ступеня ризику, достатніх для зупинення реєстрації податкових накладних протягом трьох звітних періодів</w:t>
            </w:r>
          </w:p>
        </w:tc>
      </w:tr>
      <w:tr w:rsidR="006E3713" w:rsidRPr="009344BF" w:rsidTr="006D18CC">
        <w:tc>
          <w:tcPr>
            <w:tcW w:w="817" w:type="dxa"/>
            <w:vAlign w:val="center"/>
          </w:tcPr>
          <w:p w:rsidR="006E3713" w:rsidRPr="00BD6483" w:rsidRDefault="006E3713" w:rsidP="006D18CC">
            <w:pPr>
              <w:spacing w:line="240" w:lineRule="auto"/>
              <w:jc w:val="center"/>
              <w:rPr>
                <w:rFonts w:eastAsia="Times New Roman"/>
                <w:i/>
                <w:sz w:val="24"/>
                <w:szCs w:val="24"/>
                <w:lang w:val="en-US" w:eastAsia="ru-RU"/>
              </w:rPr>
            </w:pPr>
            <w:r>
              <w:rPr>
                <w:rFonts w:eastAsia="Times New Roman"/>
                <w:i/>
                <w:sz w:val="24"/>
                <w:szCs w:val="24"/>
                <w:lang w:val="en-US" w:eastAsia="ru-RU"/>
              </w:rPr>
              <w:t>9</w:t>
            </w:r>
          </w:p>
        </w:tc>
        <w:tc>
          <w:tcPr>
            <w:tcW w:w="9390" w:type="dxa"/>
          </w:tcPr>
          <w:p w:rsidR="006E3713" w:rsidRPr="00655107" w:rsidRDefault="006E3713" w:rsidP="006D18CC">
            <w:pPr>
              <w:pStyle w:val="rvps2"/>
              <w:shd w:val="clear" w:color="auto" w:fill="FFFFFF"/>
              <w:spacing w:after="150"/>
              <w:jc w:val="both"/>
              <w:rPr>
                <w:color w:val="000000"/>
              </w:rPr>
            </w:pPr>
            <w:r w:rsidRPr="00655107">
              <w:rPr>
                <w:color w:val="000000"/>
              </w:rPr>
              <w:t>Суми за повернення товарів становлять понад 5 відсотків суми загального продажу, проведеної через РРО/ПРРО</w:t>
            </w:r>
          </w:p>
        </w:tc>
      </w:tr>
      <w:tr w:rsidR="006E3713" w:rsidRPr="00A4740E" w:rsidTr="006D18CC">
        <w:tc>
          <w:tcPr>
            <w:tcW w:w="817" w:type="dxa"/>
            <w:vAlign w:val="center"/>
          </w:tcPr>
          <w:p w:rsidR="006E3713" w:rsidRPr="00BD6483" w:rsidRDefault="006E3713" w:rsidP="006D18CC">
            <w:pPr>
              <w:spacing w:line="240" w:lineRule="auto"/>
              <w:jc w:val="center"/>
              <w:rPr>
                <w:rFonts w:eastAsia="Times New Roman"/>
                <w:i/>
                <w:sz w:val="24"/>
                <w:szCs w:val="24"/>
                <w:lang w:val="en-US" w:eastAsia="ru-RU"/>
              </w:rPr>
            </w:pPr>
            <w:r>
              <w:rPr>
                <w:rFonts w:eastAsia="Times New Roman"/>
                <w:i/>
                <w:sz w:val="24"/>
                <w:szCs w:val="24"/>
                <w:lang w:val="en-US" w:eastAsia="ru-RU"/>
              </w:rPr>
              <w:t>10</w:t>
            </w:r>
          </w:p>
        </w:tc>
        <w:tc>
          <w:tcPr>
            <w:tcW w:w="9390" w:type="dxa"/>
          </w:tcPr>
          <w:p w:rsidR="006E3713" w:rsidRPr="00655107" w:rsidRDefault="006E3713" w:rsidP="006D18CC">
            <w:pPr>
              <w:pStyle w:val="rvps2"/>
              <w:shd w:val="clear" w:color="auto" w:fill="FFFFFF"/>
              <w:spacing w:after="150"/>
              <w:jc w:val="both"/>
              <w:rPr>
                <w:color w:val="000000"/>
              </w:rPr>
            </w:pPr>
            <w:r w:rsidRPr="00655107">
              <w:rPr>
                <w:color w:val="000000"/>
              </w:rPr>
              <w:t>Невідповідність суми сплати акцизного податку з роздрібного продажу підакцизних товарів розрахунковій сумі цього податку із суми загального продажу таких товарів, проведеної через РРО/ПРРО</w:t>
            </w:r>
          </w:p>
        </w:tc>
      </w:tr>
      <w:tr w:rsidR="006E3713" w:rsidRPr="006E3713" w:rsidTr="006D18CC">
        <w:tc>
          <w:tcPr>
            <w:tcW w:w="817" w:type="dxa"/>
            <w:vAlign w:val="center"/>
          </w:tcPr>
          <w:p w:rsidR="006E3713" w:rsidRPr="00BD6483" w:rsidRDefault="006E3713" w:rsidP="006D18CC">
            <w:pPr>
              <w:spacing w:line="240" w:lineRule="auto"/>
              <w:jc w:val="center"/>
              <w:rPr>
                <w:rFonts w:eastAsia="Times New Roman"/>
                <w:i/>
                <w:sz w:val="24"/>
                <w:szCs w:val="24"/>
                <w:lang w:val="en-US" w:eastAsia="ru-RU"/>
              </w:rPr>
            </w:pPr>
            <w:r w:rsidRPr="009344BF">
              <w:rPr>
                <w:rFonts w:eastAsia="Times New Roman"/>
                <w:i/>
                <w:sz w:val="24"/>
                <w:szCs w:val="24"/>
                <w:lang w:eastAsia="ru-RU"/>
              </w:rPr>
              <w:t>1</w:t>
            </w:r>
            <w:r>
              <w:rPr>
                <w:rFonts w:eastAsia="Times New Roman"/>
                <w:i/>
                <w:sz w:val="24"/>
                <w:szCs w:val="24"/>
                <w:lang w:val="en-US" w:eastAsia="ru-RU"/>
              </w:rPr>
              <w:t>1</w:t>
            </w:r>
          </w:p>
        </w:tc>
        <w:tc>
          <w:tcPr>
            <w:tcW w:w="9390" w:type="dxa"/>
          </w:tcPr>
          <w:p w:rsidR="006E3713" w:rsidRPr="009344BF" w:rsidRDefault="006E3713" w:rsidP="006D18CC">
            <w:pPr>
              <w:pStyle w:val="rvps2"/>
              <w:shd w:val="clear" w:color="auto" w:fill="FFFFFF"/>
              <w:spacing w:before="0" w:beforeAutospacing="0" w:after="0" w:afterAutospacing="0"/>
              <w:jc w:val="both"/>
              <w:rPr>
                <w:color w:val="000000"/>
              </w:rPr>
            </w:pPr>
            <w:r w:rsidRPr="009344BF">
              <w:rPr>
                <w:color w:val="000000"/>
              </w:rPr>
              <w:t>Наявність інформації правоохоронних органів, структурних підрозділів органів ДПС про ухилення від оподаткування та/або щодо взаємовідносин із платниками податків:</w:t>
            </w:r>
          </w:p>
          <w:p w:rsidR="006E3713" w:rsidRPr="009344BF" w:rsidRDefault="006E3713" w:rsidP="006E3713">
            <w:pPr>
              <w:pStyle w:val="rvps2"/>
              <w:numPr>
                <w:ilvl w:val="0"/>
                <w:numId w:val="1"/>
              </w:numPr>
              <w:shd w:val="clear" w:color="auto" w:fill="FFFFFF"/>
              <w:tabs>
                <w:tab w:val="left" w:pos="554"/>
              </w:tabs>
              <w:spacing w:before="0" w:beforeAutospacing="0" w:after="0" w:afterAutospacing="0"/>
              <w:ind w:left="0" w:firstLine="270"/>
              <w:jc w:val="both"/>
              <w:rPr>
                <w:color w:val="000000"/>
                <w:sz w:val="22"/>
              </w:rPr>
            </w:pPr>
            <w:r w:rsidRPr="009344BF">
              <w:rPr>
                <w:color w:val="000000"/>
                <w:sz w:val="22"/>
              </w:rPr>
              <w:lastRenderedPageBreak/>
              <w:t xml:space="preserve">які мають ознаки фіктивності або стосовно яких розпочато досудове розслідування у кримінальних провадженнях, які пов’язані з фіктивним підприємництвом; </w:t>
            </w:r>
          </w:p>
          <w:p w:rsidR="006E3713" w:rsidRPr="009344BF" w:rsidRDefault="006E3713" w:rsidP="006E3713">
            <w:pPr>
              <w:pStyle w:val="rvps2"/>
              <w:numPr>
                <w:ilvl w:val="0"/>
                <w:numId w:val="1"/>
              </w:numPr>
              <w:shd w:val="clear" w:color="auto" w:fill="FFFFFF"/>
              <w:tabs>
                <w:tab w:val="left" w:pos="554"/>
              </w:tabs>
              <w:spacing w:before="0" w:beforeAutospacing="0" w:after="0" w:afterAutospacing="0"/>
              <w:ind w:left="0" w:firstLine="270"/>
              <w:jc w:val="both"/>
              <w:rPr>
                <w:color w:val="000000"/>
                <w:sz w:val="22"/>
              </w:rPr>
            </w:pPr>
            <w:r w:rsidRPr="009344BF">
              <w:rPr>
                <w:color w:val="000000"/>
                <w:sz w:val="22"/>
              </w:rPr>
              <w:t xml:space="preserve">реєстрацію яких скасовано у судовому порядку; </w:t>
            </w:r>
          </w:p>
          <w:p w:rsidR="006E3713" w:rsidRPr="009344BF" w:rsidRDefault="006E3713" w:rsidP="006E3713">
            <w:pPr>
              <w:pStyle w:val="rvps2"/>
              <w:numPr>
                <w:ilvl w:val="0"/>
                <w:numId w:val="1"/>
              </w:numPr>
              <w:shd w:val="clear" w:color="auto" w:fill="FFFFFF"/>
              <w:tabs>
                <w:tab w:val="left" w:pos="554"/>
              </w:tabs>
              <w:spacing w:before="0" w:beforeAutospacing="0" w:after="0" w:afterAutospacing="0"/>
              <w:ind w:left="0" w:firstLine="270"/>
              <w:jc w:val="both"/>
              <w:rPr>
                <w:color w:val="000000"/>
                <w:sz w:val="22"/>
              </w:rPr>
            </w:pPr>
            <w:r w:rsidRPr="009344BF">
              <w:rPr>
                <w:color w:val="000000"/>
                <w:sz w:val="22"/>
              </w:rPr>
              <w:t xml:space="preserve">стосовно яких встановлено факт неподання податкової звітності протягом двох податкових (звітних) періодів; </w:t>
            </w:r>
          </w:p>
          <w:p w:rsidR="006E3713" w:rsidRPr="009344BF" w:rsidRDefault="006E3713" w:rsidP="006E3713">
            <w:pPr>
              <w:pStyle w:val="rvps2"/>
              <w:numPr>
                <w:ilvl w:val="0"/>
                <w:numId w:val="1"/>
              </w:numPr>
              <w:shd w:val="clear" w:color="auto" w:fill="FFFFFF"/>
              <w:tabs>
                <w:tab w:val="left" w:pos="554"/>
              </w:tabs>
              <w:spacing w:before="0" w:beforeAutospacing="0" w:after="0" w:afterAutospacing="0"/>
              <w:ind w:left="0" w:firstLine="270"/>
              <w:jc w:val="both"/>
              <w:rPr>
                <w:color w:val="000000"/>
                <w:sz w:val="22"/>
              </w:rPr>
            </w:pPr>
            <w:r w:rsidRPr="009344BF">
              <w:rPr>
                <w:color w:val="000000"/>
                <w:sz w:val="22"/>
              </w:rPr>
              <w:t xml:space="preserve">які знаходяться в розшуку; </w:t>
            </w:r>
          </w:p>
          <w:p w:rsidR="006E3713" w:rsidRPr="009344BF" w:rsidRDefault="006E3713" w:rsidP="006E3713">
            <w:pPr>
              <w:pStyle w:val="rvps2"/>
              <w:numPr>
                <w:ilvl w:val="0"/>
                <w:numId w:val="1"/>
              </w:numPr>
              <w:shd w:val="clear" w:color="auto" w:fill="FFFFFF"/>
              <w:tabs>
                <w:tab w:val="left" w:pos="554"/>
              </w:tabs>
              <w:spacing w:before="0" w:beforeAutospacing="0" w:after="0" w:afterAutospacing="0"/>
              <w:ind w:left="0" w:firstLine="270"/>
              <w:jc w:val="both"/>
              <w:rPr>
                <w:color w:val="000000"/>
                <w:sz w:val="22"/>
              </w:rPr>
            </w:pPr>
            <w:r w:rsidRPr="009344BF">
              <w:rPr>
                <w:color w:val="000000"/>
                <w:sz w:val="22"/>
              </w:rPr>
              <w:t xml:space="preserve">які визнані банкрутами; </w:t>
            </w:r>
          </w:p>
          <w:p w:rsidR="006E3713" w:rsidRPr="009344BF" w:rsidRDefault="006E3713" w:rsidP="006E3713">
            <w:pPr>
              <w:pStyle w:val="rvps2"/>
              <w:numPr>
                <w:ilvl w:val="0"/>
                <w:numId w:val="1"/>
              </w:numPr>
              <w:shd w:val="clear" w:color="auto" w:fill="FFFFFF"/>
              <w:tabs>
                <w:tab w:val="left" w:pos="554"/>
              </w:tabs>
              <w:spacing w:before="0" w:beforeAutospacing="0" w:after="0" w:afterAutospacing="0"/>
              <w:ind w:left="0" w:firstLine="270"/>
              <w:jc w:val="both"/>
              <w:rPr>
                <w:color w:val="000000"/>
              </w:rPr>
            </w:pPr>
            <w:r w:rsidRPr="009344BF">
              <w:rPr>
                <w:color w:val="000000"/>
                <w:sz w:val="22"/>
              </w:rPr>
              <w:t>стосовно яких розпочато досудове розслідування у кримінальних провадженнях або щодо яких порушено кримінальні справи, які пов’язані з ухиленням від сплати податків, зборів (платежів), єдиного внеску та страхових внесків на загальнообов’язкове державне пенсійне страхування</w:t>
            </w:r>
          </w:p>
        </w:tc>
      </w:tr>
      <w:tr w:rsidR="006E3713" w:rsidRPr="009344BF" w:rsidTr="006D18CC">
        <w:tc>
          <w:tcPr>
            <w:tcW w:w="817" w:type="dxa"/>
            <w:vAlign w:val="center"/>
          </w:tcPr>
          <w:p w:rsidR="006E3713" w:rsidRPr="00BD6483" w:rsidRDefault="006E3713" w:rsidP="006D18CC">
            <w:pPr>
              <w:spacing w:line="240" w:lineRule="auto"/>
              <w:jc w:val="center"/>
              <w:rPr>
                <w:rFonts w:eastAsia="Times New Roman"/>
                <w:i/>
                <w:sz w:val="24"/>
                <w:szCs w:val="24"/>
                <w:lang w:val="en-US" w:eastAsia="ru-RU"/>
              </w:rPr>
            </w:pPr>
            <w:r>
              <w:rPr>
                <w:rFonts w:eastAsia="Times New Roman"/>
                <w:i/>
                <w:sz w:val="24"/>
                <w:szCs w:val="24"/>
                <w:lang w:val="en-US" w:eastAsia="ru-RU"/>
              </w:rPr>
              <w:lastRenderedPageBreak/>
              <w:t>12</w:t>
            </w:r>
          </w:p>
        </w:tc>
        <w:tc>
          <w:tcPr>
            <w:tcW w:w="9390" w:type="dxa"/>
          </w:tcPr>
          <w:p w:rsidR="006E3713" w:rsidRPr="009344BF" w:rsidRDefault="006E3713" w:rsidP="006D18CC">
            <w:pPr>
              <w:pStyle w:val="rvps2"/>
              <w:shd w:val="clear" w:color="auto" w:fill="FFFFFF"/>
              <w:spacing w:after="150"/>
              <w:jc w:val="both"/>
              <w:rPr>
                <w:color w:val="000000"/>
              </w:rPr>
            </w:pPr>
            <w:r w:rsidRPr="009344BF">
              <w:rPr>
                <w:color w:val="000000"/>
              </w:rPr>
              <w:t>Зростання удвічі та більше кредиторської заборгованості за продукцію (товари, роботи, послуги) протягом двох попередніх (звітних) років при зростанні запасів</w:t>
            </w:r>
          </w:p>
        </w:tc>
      </w:tr>
      <w:tr w:rsidR="006E3713" w:rsidRPr="006E3713" w:rsidTr="006D18CC">
        <w:tc>
          <w:tcPr>
            <w:tcW w:w="817" w:type="dxa"/>
            <w:vAlign w:val="center"/>
          </w:tcPr>
          <w:p w:rsidR="006E3713" w:rsidRPr="00BD6483" w:rsidRDefault="006E3713" w:rsidP="006D18CC">
            <w:pPr>
              <w:spacing w:line="240" w:lineRule="auto"/>
              <w:jc w:val="center"/>
              <w:rPr>
                <w:rFonts w:eastAsia="Times New Roman"/>
                <w:i/>
                <w:sz w:val="24"/>
                <w:szCs w:val="24"/>
                <w:lang w:val="en-US" w:eastAsia="ru-RU"/>
              </w:rPr>
            </w:pPr>
            <w:r>
              <w:rPr>
                <w:rFonts w:eastAsia="Times New Roman"/>
                <w:i/>
                <w:sz w:val="24"/>
                <w:szCs w:val="24"/>
                <w:lang w:val="en-US" w:eastAsia="ru-RU"/>
              </w:rPr>
              <w:t>13</w:t>
            </w:r>
          </w:p>
        </w:tc>
        <w:tc>
          <w:tcPr>
            <w:tcW w:w="9390" w:type="dxa"/>
          </w:tcPr>
          <w:p w:rsidR="006E3713" w:rsidRPr="009344BF" w:rsidRDefault="006E3713" w:rsidP="006D18CC">
            <w:pPr>
              <w:pStyle w:val="rvps2"/>
              <w:shd w:val="clear" w:color="auto" w:fill="FFFFFF"/>
              <w:spacing w:after="150"/>
              <w:jc w:val="both"/>
              <w:rPr>
                <w:color w:val="000000"/>
              </w:rPr>
            </w:pPr>
            <w:r w:rsidRPr="009344BF">
              <w:rPr>
                <w:color w:val="000000"/>
              </w:rPr>
              <w:t>Здійснення операцій з реалізації продукції (товарів, робіт, послуг) нижче собівартості або різниця між собівартістю реалізованої продукції (товарів, робіт, послуг) та чистим доходом від реалізації продукції (товарів, робіт, послуг) не перевищує 10 відсотків собівартості реалізованої продукції</w:t>
            </w:r>
          </w:p>
        </w:tc>
      </w:tr>
      <w:tr w:rsidR="006E3713" w:rsidRPr="006E3713" w:rsidTr="006D18CC">
        <w:tc>
          <w:tcPr>
            <w:tcW w:w="817" w:type="dxa"/>
            <w:vAlign w:val="center"/>
          </w:tcPr>
          <w:p w:rsidR="006E3713" w:rsidRPr="00BD6483" w:rsidRDefault="006E3713" w:rsidP="006D18CC">
            <w:pPr>
              <w:spacing w:line="240" w:lineRule="auto"/>
              <w:jc w:val="center"/>
              <w:rPr>
                <w:rFonts w:eastAsia="Times New Roman"/>
                <w:i/>
                <w:sz w:val="24"/>
                <w:szCs w:val="24"/>
                <w:lang w:val="en-US" w:eastAsia="ru-RU"/>
              </w:rPr>
            </w:pPr>
            <w:r>
              <w:rPr>
                <w:rFonts w:eastAsia="Times New Roman"/>
                <w:i/>
                <w:sz w:val="24"/>
                <w:szCs w:val="24"/>
                <w:lang w:val="en-US" w:eastAsia="ru-RU"/>
              </w:rPr>
              <w:t>14</w:t>
            </w:r>
          </w:p>
        </w:tc>
        <w:tc>
          <w:tcPr>
            <w:tcW w:w="9390" w:type="dxa"/>
          </w:tcPr>
          <w:p w:rsidR="006E3713" w:rsidRPr="009344BF" w:rsidRDefault="006E3713" w:rsidP="006D18CC">
            <w:pPr>
              <w:pStyle w:val="rvps2"/>
              <w:shd w:val="clear" w:color="auto" w:fill="FFFFFF"/>
              <w:spacing w:after="150"/>
              <w:jc w:val="both"/>
              <w:rPr>
                <w:color w:val="000000"/>
              </w:rPr>
            </w:pPr>
            <w:r w:rsidRPr="009344BF">
              <w:rPr>
                <w:color w:val="000000"/>
              </w:rPr>
              <w:t>Наявність відносин із платниками податків, які обрали спрощену систему оподаткування та є керівниками, засновниками або співробітниками цього підприємства, у сумі операцій понад 5 млн грн або понад 5 відсотків загальних обсягів постачання, але не менше 100 тис. грн</w:t>
            </w:r>
          </w:p>
        </w:tc>
      </w:tr>
      <w:tr w:rsidR="006E3713" w:rsidRPr="009344BF" w:rsidTr="006D18CC">
        <w:tc>
          <w:tcPr>
            <w:tcW w:w="817" w:type="dxa"/>
            <w:vAlign w:val="center"/>
          </w:tcPr>
          <w:p w:rsidR="006E3713" w:rsidRPr="00BD6483" w:rsidRDefault="006E3713" w:rsidP="006D18CC">
            <w:pPr>
              <w:spacing w:line="240" w:lineRule="auto"/>
              <w:jc w:val="center"/>
              <w:rPr>
                <w:rFonts w:eastAsia="Times New Roman"/>
                <w:i/>
                <w:sz w:val="24"/>
                <w:szCs w:val="24"/>
                <w:lang w:val="en-US" w:eastAsia="ru-RU"/>
              </w:rPr>
            </w:pPr>
            <w:r>
              <w:rPr>
                <w:rFonts w:eastAsia="Times New Roman"/>
                <w:i/>
                <w:sz w:val="24"/>
                <w:szCs w:val="24"/>
                <w:lang w:val="en-US" w:eastAsia="ru-RU"/>
              </w:rPr>
              <w:t>15</w:t>
            </w:r>
          </w:p>
        </w:tc>
        <w:tc>
          <w:tcPr>
            <w:tcW w:w="9390" w:type="dxa"/>
          </w:tcPr>
          <w:p w:rsidR="006E3713" w:rsidRPr="009344BF" w:rsidRDefault="006E3713" w:rsidP="006D18CC">
            <w:pPr>
              <w:pStyle w:val="rvps2"/>
              <w:shd w:val="clear" w:color="auto" w:fill="FFFFFF"/>
              <w:spacing w:after="150"/>
              <w:jc w:val="both"/>
              <w:rPr>
                <w:color w:val="000000"/>
              </w:rPr>
            </w:pPr>
            <w:r w:rsidRPr="009344BF">
              <w:rPr>
                <w:color w:val="000000"/>
              </w:rPr>
              <w:t>Проведення протягом місяця більше трьох ремонтів одного реєстратора розрахункових операцій, не пов’язаних із плановим технічним обслуговуванням</w:t>
            </w:r>
          </w:p>
        </w:tc>
      </w:tr>
      <w:tr w:rsidR="006E3713" w:rsidRPr="006E3713" w:rsidTr="006D18CC">
        <w:tc>
          <w:tcPr>
            <w:tcW w:w="817" w:type="dxa"/>
            <w:vAlign w:val="center"/>
          </w:tcPr>
          <w:p w:rsidR="006E3713" w:rsidRPr="00BD6483" w:rsidRDefault="006E3713" w:rsidP="006D18CC">
            <w:pPr>
              <w:spacing w:line="240" w:lineRule="auto"/>
              <w:jc w:val="center"/>
              <w:rPr>
                <w:rFonts w:eastAsia="Times New Roman"/>
                <w:i/>
                <w:sz w:val="24"/>
                <w:szCs w:val="24"/>
                <w:lang w:val="en-US" w:eastAsia="ru-RU"/>
              </w:rPr>
            </w:pPr>
            <w:r>
              <w:rPr>
                <w:rFonts w:eastAsia="Times New Roman"/>
                <w:i/>
                <w:sz w:val="24"/>
                <w:szCs w:val="24"/>
                <w:lang w:val="en-US" w:eastAsia="ru-RU"/>
              </w:rPr>
              <w:t>16</w:t>
            </w:r>
          </w:p>
        </w:tc>
        <w:tc>
          <w:tcPr>
            <w:tcW w:w="9390" w:type="dxa"/>
          </w:tcPr>
          <w:p w:rsidR="006E3713" w:rsidRPr="009344BF" w:rsidRDefault="006E3713" w:rsidP="006D18CC">
            <w:pPr>
              <w:pStyle w:val="rvps2"/>
              <w:shd w:val="clear" w:color="auto" w:fill="FFFFFF"/>
              <w:spacing w:after="150"/>
              <w:jc w:val="both"/>
              <w:rPr>
                <w:color w:val="000000"/>
              </w:rPr>
            </w:pPr>
            <w:r w:rsidRPr="009344BF">
              <w:rPr>
                <w:color w:val="000000"/>
              </w:rPr>
              <w:t>Наявність у органів ДПС інформації про відсутність торгових патентів і ліцензій у платників податків, які провадять діяльність, що підлягає ліцензуванню</w:t>
            </w:r>
          </w:p>
        </w:tc>
      </w:tr>
      <w:tr w:rsidR="006E3713" w:rsidRPr="006E3713" w:rsidTr="006D18CC">
        <w:tc>
          <w:tcPr>
            <w:tcW w:w="817" w:type="dxa"/>
            <w:vAlign w:val="center"/>
          </w:tcPr>
          <w:p w:rsidR="006E3713" w:rsidRPr="00BD6483" w:rsidRDefault="006E3713" w:rsidP="006D18CC">
            <w:pPr>
              <w:spacing w:line="240" w:lineRule="auto"/>
              <w:jc w:val="center"/>
              <w:rPr>
                <w:rFonts w:eastAsia="Times New Roman"/>
                <w:i/>
                <w:sz w:val="24"/>
                <w:szCs w:val="24"/>
                <w:lang w:val="en-US" w:eastAsia="ru-RU"/>
              </w:rPr>
            </w:pPr>
            <w:r>
              <w:rPr>
                <w:rFonts w:eastAsia="Times New Roman"/>
                <w:i/>
                <w:sz w:val="24"/>
                <w:szCs w:val="24"/>
                <w:lang w:val="en-US" w:eastAsia="ru-RU"/>
              </w:rPr>
              <w:t>17</w:t>
            </w:r>
          </w:p>
        </w:tc>
        <w:tc>
          <w:tcPr>
            <w:tcW w:w="9390" w:type="dxa"/>
          </w:tcPr>
          <w:p w:rsidR="006E3713" w:rsidRPr="009344BF" w:rsidRDefault="006E3713" w:rsidP="006D18CC">
            <w:pPr>
              <w:pStyle w:val="rvps2"/>
              <w:shd w:val="clear" w:color="auto" w:fill="FFFFFF"/>
              <w:spacing w:after="150"/>
              <w:jc w:val="both"/>
              <w:rPr>
                <w:color w:val="000000"/>
              </w:rPr>
            </w:pPr>
            <w:r w:rsidRPr="009344BF">
              <w:rPr>
                <w:color w:val="000000"/>
              </w:rPr>
              <w:t>Кількість найманих працівників на сільськогосподарських підприємствах менше 5 осіб за наявності у власності та/або оренді земельних ділянок площею понад 10 га, доходу за попередній звітний період у сумі понад 1 млн грн</w:t>
            </w:r>
          </w:p>
        </w:tc>
      </w:tr>
      <w:tr w:rsidR="006E3713" w:rsidRPr="006E3713" w:rsidTr="006D18CC">
        <w:tc>
          <w:tcPr>
            <w:tcW w:w="817" w:type="dxa"/>
            <w:vAlign w:val="center"/>
          </w:tcPr>
          <w:p w:rsidR="006E3713" w:rsidRPr="00BD6483" w:rsidRDefault="006E3713" w:rsidP="006D18CC">
            <w:pPr>
              <w:spacing w:line="240" w:lineRule="auto"/>
              <w:jc w:val="center"/>
              <w:rPr>
                <w:rFonts w:eastAsia="Times New Roman"/>
                <w:i/>
                <w:sz w:val="24"/>
                <w:szCs w:val="24"/>
                <w:lang w:val="en-US" w:eastAsia="ru-RU"/>
              </w:rPr>
            </w:pPr>
            <w:r>
              <w:rPr>
                <w:rFonts w:eastAsia="Times New Roman"/>
                <w:i/>
                <w:sz w:val="24"/>
                <w:szCs w:val="24"/>
                <w:lang w:val="en-US" w:eastAsia="ru-RU"/>
              </w:rPr>
              <w:t>18</w:t>
            </w:r>
          </w:p>
        </w:tc>
        <w:tc>
          <w:tcPr>
            <w:tcW w:w="9390" w:type="dxa"/>
          </w:tcPr>
          <w:p w:rsidR="006E3713" w:rsidRPr="009344BF" w:rsidRDefault="006E3713" w:rsidP="006D18CC">
            <w:pPr>
              <w:pStyle w:val="rvps2"/>
              <w:shd w:val="clear" w:color="auto" w:fill="FFFFFF"/>
              <w:spacing w:after="150"/>
              <w:jc w:val="both"/>
              <w:rPr>
                <w:color w:val="000000"/>
              </w:rPr>
            </w:pPr>
            <w:r w:rsidRPr="009344BF">
              <w:rPr>
                <w:color w:val="000000"/>
              </w:rPr>
              <w:t>Кількість найманих працівників на підприємствах будівельної галузі менше 5 осіб за наявності відведених у поточному та/або попередньому звітному роках земельних ділянок площею понад 0,5 га</w:t>
            </w:r>
          </w:p>
        </w:tc>
      </w:tr>
      <w:tr w:rsidR="006E3713" w:rsidRPr="006E3713" w:rsidTr="006D18CC">
        <w:tc>
          <w:tcPr>
            <w:tcW w:w="817" w:type="dxa"/>
            <w:vAlign w:val="center"/>
          </w:tcPr>
          <w:p w:rsidR="006E3713" w:rsidRPr="00BD6483" w:rsidRDefault="006E3713" w:rsidP="006D18CC">
            <w:pPr>
              <w:spacing w:line="240" w:lineRule="auto"/>
              <w:jc w:val="center"/>
              <w:rPr>
                <w:rFonts w:eastAsia="Times New Roman"/>
                <w:i/>
                <w:sz w:val="24"/>
                <w:szCs w:val="24"/>
                <w:lang w:val="en-US" w:eastAsia="ru-RU"/>
              </w:rPr>
            </w:pPr>
            <w:r>
              <w:rPr>
                <w:rFonts w:eastAsia="Times New Roman"/>
                <w:i/>
                <w:sz w:val="24"/>
                <w:szCs w:val="24"/>
                <w:lang w:val="en-US" w:eastAsia="ru-RU"/>
              </w:rPr>
              <w:t>19</w:t>
            </w:r>
          </w:p>
        </w:tc>
        <w:tc>
          <w:tcPr>
            <w:tcW w:w="9390" w:type="dxa"/>
          </w:tcPr>
          <w:p w:rsidR="006E3713" w:rsidRPr="009344BF" w:rsidRDefault="006E3713" w:rsidP="006D18CC">
            <w:pPr>
              <w:pStyle w:val="rvps2"/>
              <w:shd w:val="clear" w:color="auto" w:fill="FFFFFF"/>
              <w:spacing w:after="150"/>
              <w:jc w:val="both"/>
              <w:rPr>
                <w:color w:val="000000"/>
              </w:rPr>
            </w:pPr>
            <w:r w:rsidRPr="009344BF">
              <w:rPr>
                <w:color w:val="000000"/>
              </w:rPr>
              <w:t>Наявність зареєстрованого реєстратора розрахункових операцій за відсутності обсягів реалізації товарів (послуг) через такий реєстратор розрахункових операцій</w:t>
            </w:r>
          </w:p>
        </w:tc>
      </w:tr>
      <w:tr w:rsidR="006E3713" w:rsidRPr="009344BF" w:rsidTr="006D18CC">
        <w:tc>
          <w:tcPr>
            <w:tcW w:w="817" w:type="dxa"/>
            <w:vAlign w:val="center"/>
          </w:tcPr>
          <w:p w:rsidR="006E3713" w:rsidRPr="00BD6483" w:rsidRDefault="006E3713" w:rsidP="006D18CC">
            <w:pPr>
              <w:spacing w:line="240" w:lineRule="auto"/>
              <w:jc w:val="center"/>
              <w:rPr>
                <w:rFonts w:eastAsia="Times New Roman"/>
                <w:i/>
                <w:sz w:val="24"/>
                <w:szCs w:val="24"/>
                <w:lang w:val="en-US" w:eastAsia="ru-RU"/>
              </w:rPr>
            </w:pPr>
            <w:r>
              <w:rPr>
                <w:rFonts w:eastAsia="Times New Roman"/>
                <w:i/>
                <w:sz w:val="24"/>
                <w:szCs w:val="24"/>
                <w:lang w:val="en-US" w:eastAsia="ru-RU"/>
              </w:rPr>
              <w:t>20</w:t>
            </w:r>
          </w:p>
        </w:tc>
        <w:tc>
          <w:tcPr>
            <w:tcW w:w="9390" w:type="dxa"/>
          </w:tcPr>
          <w:p w:rsidR="006E3713" w:rsidRPr="009344BF" w:rsidRDefault="006E3713" w:rsidP="006D18CC">
            <w:pPr>
              <w:pStyle w:val="rvps2"/>
              <w:shd w:val="clear" w:color="auto" w:fill="FFFFFF"/>
              <w:spacing w:after="150"/>
              <w:jc w:val="both"/>
              <w:rPr>
                <w:color w:val="000000"/>
              </w:rPr>
            </w:pPr>
            <w:r w:rsidRPr="009344BF">
              <w:rPr>
                <w:color w:val="000000"/>
              </w:rPr>
              <w:t>Невідповідність даних звітності реєстратора розрахункових операцій та обсягів постачання, зазначених у деклараціях з податку на додану вартість</w:t>
            </w:r>
          </w:p>
        </w:tc>
      </w:tr>
      <w:tr w:rsidR="006E3713" w:rsidRPr="009344BF" w:rsidTr="006D18CC">
        <w:tc>
          <w:tcPr>
            <w:tcW w:w="817" w:type="dxa"/>
            <w:vAlign w:val="center"/>
          </w:tcPr>
          <w:p w:rsidR="006E3713" w:rsidRPr="00BD6483" w:rsidRDefault="006E3713" w:rsidP="006D18CC">
            <w:pPr>
              <w:spacing w:line="240" w:lineRule="auto"/>
              <w:jc w:val="center"/>
              <w:rPr>
                <w:rFonts w:eastAsia="Times New Roman"/>
                <w:i/>
                <w:sz w:val="24"/>
                <w:szCs w:val="24"/>
                <w:lang w:val="en-US" w:eastAsia="ru-RU"/>
              </w:rPr>
            </w:pPr>
            <w:r>
              <w:rPr>
                <w:rFonts w:eastAsia="Times New Roman"/>
                <w:i/>
                <w:sz w:val="24"/>
                <w:szCs w:val="24"/>
                <w:lang w:val="en-US" w:eastAsia="ru-RU"/>
              </w:rPr>
              <w:t>21</w:t>
            </w:r>
          </w:p>
        </w:tc>
        <w:tc>
          <w:tcPr>
            <w:tcW w:w="9390" w:type="dxa"/>
          </w:tcPr>
          <w:p w:rsidR="006E3713" w:rsidRPr="009344BF" w:rsidRDefault="006E3713" w:rsidP="006D18CC">
            <w:pPr>
              <w:pStyle w:val="rvps2"/>
              <w:shd w:val="clear" w:color="auto" w:fill="FFFFFF"/>
              <w:spacing w:after="150"/>
              <w:jc w:val="both"/>
              <w:rPr>
                <w:color w:val="000000"/>
              </w:rPr>
            </w:pPr>
            <w:r w:rsidRPr="009344BF">
              <w:rPr>
                <w:color w:val="000000"/>
              </w:rPr>
              <w:t>Наявність розбіжностей між обсягами задекларованих у податкових деклараціях з податку на додану вартість податкових зобов’язань або податкового кредиту з податку на додану вартість та обсягами податкових зобов’язань або податкового кредиту з податку на додану вартість за даними ЄРПН на 5 та більше відсотків</w:t>
            </w:r>
          </w:p>
        </w:tc>
      </w:tr>
      <w:tr w:rsidR="006E3713" w:rsidRPr="009344BF" w:rsidTr="006D18CC">
        <w:tc>
          <w:tcPr>
            <w:tcW w:w="817" w:type="dxa"/>
            <w:vAlign w:val="center"/>
          </w:tcPr>
          <w:p w:rsidR="006E3713" w:rsidRPr="00BD6483" w:rsidRDefault="006E3713" w:rsidP="006D18CC">
            <w:pPr>
              <w:spacing w:line="240" w:lineRule="auto"/>
              <w:jc w:val="center"/>
              <w:rPr>
                <w:rFonts w:eastAsia="Times New Roman"/>
                <w:i/>
                <w:sz w:val="24"/>
                <w:szCs w:val="24"/>
                <w:lang w:val="en-US" w:eastAsia="ru-RU"/>
              </w:rPr>
            </w:pPr>
            <w:r>
              <w:rPr>
                <w:rFonts w:eastAsia="Times New Roman"/>
                <w:i/>
                <w:sz w:val="24"/>
                <w:szCs w:val="24"/>
                <w:lang w:val="en-US" w:eastAsia="ru-RU"/>
              </w:rPr>
              <w:t>22</w:t>
            </w:r>
          </w:p>
        </w:tc>
        <w:tc>
          <w:tcPr>
            <w:tcW w:w="9390" w:type="dxa"/>
          </w:tcPr>
          <w:p w:rsidR="006E3713" w:rsidRPr="009344BF" w:rsidRDefault="006E3713" w:rsidP="006D18CC">
            <w:pPr>
              <w:pStyle w:val="rvps2"/>
              <w:shd w:val="clear" w:color="auto" w:fill="FFFFFF"/>
              <w:spacing w:after="150"/>
              <w:jc w:val="both"/>
              <w:rPr>
                <w:color w:val="000000"/>
              </w:rPr>
            </w:pPr>
            <w:r w:rsidRPr="009344BF">
              <w:rPr>
                <w:color w:val="000000"/>
              </w:rPr>
              <w:t>Коригування платником податків податкової звітності з податку на прибуток та/або податку на додану вартість у бік зменшення податкових зобов’язань понад 10 відсотків</w:t>
            </w:r>
          </w:p>
        </w:tc>
      </w:tr>
      <w:tr w:rsidR="006E3713" w:rsidRPr="006E3713" w:rsidTr="006D18CC">
        <w:tc>
          <w:tcPr>
            <w:tcW w:w="817" w:type="dxa"/>
            <w:vAlign w:val="center"/>
          </w:tcPr>
          <w:p w:rsidR="006E3713" w:rsidRPr="00BD6483" w:rsidRDefault="006E3713" w:rsidP="006D18CC">
            <w:pPr>
              <w:spacing w:line="240" w:lineRule="auto"/>
              <w:jc w:val="center"/>
              <w:rPr>
                <w:rFonts w:eastAsia="Times New Roman"/>
                <w:i/>
                <w:sz w:val="24"/>
                <w:szCs w:val="24"/>
                <w:lang w:val="en-US" w:eastAsia="ru-RU"/>
              </w:rPr>
            </w:pPr>
            <w:r>
              <w:rPr>
                <w:rFonts w:eastAsia="Times New Roman"/>
                <w:i/>
                <w:sz w:val="24"/>
                <w:szCs w:val="24"/>
                <w:lang w:val="en-US" w:eastAsia="ru-RU"/>
              </w:rPr>
              <w:t>23</w:t>
            </w:r>
          </w:p>
        </w:tc>
        <w:tc>
          <w:tcPr>
            <w:tcW w:w="9390" w:type="dxa"/>
          </w:tcPr>
          <w:p w:rsidR="006E3713" w:rsidRPr="009344BF" w:rsidRDefault="006E3713" w:rsidP="006D18CC">
            <w:pPr>
              <w:pStyle w:val="rvps2"/>
              <w:shd w:val="clear" w:color="auto" w:fill="FFFFFF"/>
              <w:spacing w:after="150"/>
              <w:jc w:val="both"/>
              <w:rPr>
                <w:color w:val="000000"/>
              </w:rPr>
            </w:pPr>
            <w:r w:rsidRPr="009344BF">
              <w:rPr>
                <w:color w:val="000000"/>
              </w:rPr>
              <w:t xml:space="preserve">Здійснення платником податків коригування звітності шляхом зменшення фінансового результату до оподаткування, визначеного у фінансовій звітності підприємства відповідно до національних положень (стандартів) бухгалтерського обліку або міжнародних стандартів фінансової звітності, на різниці, що у сумі перевищують </w:t>
            </w:r>
            <w:r>
              <w:rPr>
                <w:color w:val="000000"/>
                <w:lang w:val="en-US"/>
              </w:rPr>
              <w:br/>
            </w:r>
            <w:r w:rsidRPr="009344BF">
              <w:rPr>
                <w:color w:val="000000"/>
              </w:rPr>
              <w:t xml:space="preserve">10 відсотків </w:t>
            </w:r>
          </w:p>
        </w:tc>
      </w:tr>
      <w:tr w:rsidR="006E3713" w:rsidRPr="006E3713" w:rsidTr="006D18CC">
        <w:tc>
          <w:tcPr>
            <w:tcW w:w="817" w:type="dxa"/>
            <w:vAlign w:val="center"/>
          </w:tcPr>
          <w:p w:rsidR="006E3713" w:rsidRPr="00BD6483" w:rsidRDefault="006E3713" w:rsidP="006D18CC">
            <w:pPr>
              <w:spacing w:line="240" w:lineRule="auto"/>
              <w:jc w:val="center"/>
              <w:rPr>
                <w:rFonts w:eastAsia="Times New Roman"/>
                <w:i/>
                <w:sz w:val="24"/>
                <w:szCs w:val="24"/>
                <w:lang w:val="en-US" w:eastAsia="ru-RU"/>
              </w:rPr>
            </w:pPr>
            <w:r>
              <w:rPr>
                <w:rFonts w:eastAsia="Times New Roman"/>
                <w:i/>
                <w:sz w:val="24"/>
                <w:szCs w:val="24"/>
                <w:lang w:eastAsia="ru-RU"/>
              </w:rPr>
              <w:t>2</w:t>
            </w:r>
            <w:r>
              <w:rPr>
                <w:rFonts w:eastAsia="Times New Roman"/>
                <w:i/>
                <w:sz w:val="24"/>
                <w:szCs w:val="24"/>
                <w:lang w:val="en-US" w:eastAsia="ru-RU"/>
              </w:rPr>
              <w:t>4</w:t>
            </w:r>
          </w:p>
        </w:tc>
        <w:tc>
          <w:tcPr>
            <w:tcW w:w="9390" w:type="dxa"/>
          </w:tcPr>
          <w:p w:rsidR="006E3713" w:rsidRPr="009344BF" w:rsidRDefault="006E3713" w:rsidP="006D18CC">
            <w:pPr>
              <w:pStyle w:val="rvps2"/>
              <w:shd w:val="clear" w:color="auto" w:fill="FFFFFF"/>
              <w:spacing w:after="150"/>
              <w:jc w:val="both"/>
            </w:pPr>
            <w:r w:rsidRPr="009344BF">
              <w:t>Здійснення платником податків коригування звітності шляхом зменшення фінансового результату до оподаткування, визначеного у фінансовій звітності підприємства відповідно до національних положень (стандартів) бухгалтерського обліку або міжнародних стандартів фінансової звітності, на різниці від</w:t>
            </w:r>
            <w:r>
              <w:rPr>
                <w:lang w:val="en-US"/>
              </w:rPr>
              <w:t xml:space="preserve"> 10 </w:t>
            </w:r>
            <w:r>
              <w:t>до</w:t>
            </w:r>
            <w:r w:rsidRPr="009344BF">
              <w:t xml:space="preserve"> 20 відсотків</w:t>
            </w:r>
          </w:p>
        </w:tc>
      </w:tr>
      <w:tr w:rsidR="006E3713" w:rsidRPr="009344BF" w:rsidTr="006D18CC">
        <w:tc>
          <w:tcPr>
            <w:tcW w:w="817" w:type="dxa"/>
            <w:vAlign w:val="center"/>
          </w:tcPr>
          <w:p w:rsidR="006E3713" w:rsidRPr="00BD6483" w:rsidRDefault="006E3713" w:rsidP="006D18CC">
            <w:pPr>
              <w:spacing w:line="240" w:lineRule="auto"/>
              <w:jc w:val="center"/>
              <w:rPr>
                <w:rFonts w:eastAsia="Times New Roman"/>
                <w:i/>
                <w:sz w:val="24"/>
                <w:szCs w:val="24"/>
                <w:lang w:val="en-US" w:eastAsia="ru-RU"/>
              </w:rPr>
            </w:pPr>
            <w:r>
              <w:rPr>
                <w:rFonts w:eastAsia="Times New Roman"/>
                <w:i/>
                <w:sz w:val="24"/>
                <w:szCs w:val="24"/>
                <w:lang w:eastAsia="ru-RU"/>
              </w:rPr>
              <w:t>2</w:t>
            </w:r>
            <w:r>
              <w:rPr>
                <w:rFonts w:eastAsia="Times New Roman"/>
                <w:i/>
                <w:sz w:val="24"/>
                <w:szCs w:val="24"/>
                <w:lang w:val="en-US" w:eastAsia="ru-RU"/>
              </w:rPr>
              <w:t>5</w:t>
            </w:r>
          </w:p>
        </w:tc>
        <w:tc>
          <w:tcPr>
            <w:tcW w:w="9390" w:type="dxa"/>
          </w:tcPr>
          <w:p w:rsidR="006E3713" w:rsidRPr="009344BF" w:rsidRDefault="006E3713" w:rsidP="006D18CC">
            <w:pPr>
              <w:pStyle w:val="rvps2"/>
              <w:shd w:val="clear" w:color="auto" w:fill="FFFFFF"/>
              <w:jc w:val="both"/>
              <w:rPr>
                <w:color w:val="000000"/>
              </w:rPr>
            </w:pPr>
            <w:r w:rsidRPr="009344BF">
              <w:rPr>
                <w:color w:val="000000"/>
              </w:rPr>
              <w:t xml:space="preserve">Відсоток утриманої суми податку на доходи фізичних осіб та військового збору нижче за 10 відсотків суми виплаченого доходу у вигляді заробітної плати </w:t>
            </w:r>
          </w:p>
        </w:tc>
      </w:tr>
      <w:tr w:rsidR="006E3713" w:rsidRPr="009344BF" w:rsidTr="006D18CC">
        <w:tc>
          <w:tcPr>
            <w:tcW w:w="817" w:type="dxa"/>
            <w:vAlign w:val="center"/>
          </w:tcPr>
          <w:p w:rsidR="006E3713" w:rsidRPr="00BD6483" w:rsidRDefault="006E3713" w:rsidP="006D18CC">
            <w:pPr>
              <w:spacing w:line="240" w:lineRule="auto"/>
              <w:jc w:val="center"/>
              <w:rPr>
                <w:rFonts w:eastAsia="Times New Roman"/>
                <w:i/>
                <w:sz w:val="24"/>
                <w:szCs w:val="24"/>
                <w:lang w:val="en-US" w:eastAsia="ru-RU"/>
              </w:rPr>
            </w:pPr>
            <w:r>
              <w:rPr>
                <w:rFonts w:eastAsia="Times New Roman"/>
                <w:i/>
                <w:sz w:val="24"/>
                <w:szCs w:val="24"/>
                <w:lang w:eastAsia="ru-RU"/>
              </w:rPr>
              <w:lastRenderedPageBreak/>
              <w:t>2</w:t>
            </w:r>
            <w:r>
              <w:rPr>
                <w:rFonts w:eastAsia="Times New Roman"/>
                <w:i/>
                <w:sz w:val="24"/>
                <w:szCs w:val="24"/>
                <w:lang w:val="en-US" w:eastAsia="ru-RU"/>
              </w:rPr>
              <w:t>6</w:t>
            </w:r>
          </w:p>
        </w:tc>
        <w:tc>
          <w:tcPr>
            <w:tcW w:w="9390" w:type="dxa"/>
          </w:tcPr>
          <w:p w:rsidR="006E3713" w:rsidRPr="009344BF" w:rsidRDefault="006E3713" w:rsidP="006D18CC">
            <w:pPr>
              <w:pStyle w:val="rvps2"/>
              <w:shd w:val="clear" w:color="auto" w:fill="FFFFFF"/>
              <w:jc w:val="both"/>
              <w:rPr>
                <w:color w:val="000000"/>
              </w:rPr>
            </w:pPr>
            <w:r w:rsidRPr="009344BF">
              <w:rPr>
                <w:color w:val="000000"/>
              </w:rPr>
              <w:t xml:space="preserve">Нарахування заробітної плати у сумі менше законодавчо встановленого розміру мінімальної заробітної плати за наявності доходу за попередній звітний період у сумі 1 млн грн та більше </w:t>
            </w:r>
          </w:p>
        </w:tc>
      </w:tr>
      <w:tr w:rsidR="006E3713" w:rsidRPr="006E3713" w:rsidTr="006D18CC">
        <w:tc>
          <w:tcPr>
            <w:tcW w:w="817" w:type="dxa"/>
            <w:vAlign w:val="center"/>
          </w:tcPr>
          <w:p w:rsidR="006E3713" w:rsidRPr="00BD6483" w:rsidRDefault="006E3713" w:rsidP="006D18CC">
            <w:pPr>
              <w:spacing w:line="240" w:lineRule="auto"/>
              <w:jc w:val="center"/>
              <w:rPr>
                <w:rFonts w:eastAsia="Times New Roman"/>
                <w:i/>
                <w:sz w:val="24"/>
                <w:szCs w:val="24"/>
                <w:lang w:val="en-US" w:eastAsia="ru-RU"/>
              </w:rPr>
            </w:pPr>
            <w:r>
              <w:rPr>
                <w:rFonts w:eastAsia="Times New Roman"/>
                <w:i/>
                <w:sz w:val="24"/>
                <w:szCs w:val="24"/>
                <w:lang w:eastAsia="ru-RU"/>
              </w:rPr>
              <w:t>2</w:t>
            </w:r>
            <w:r>
              <w:rPr>
                <w:rFonts w:eastAsia="Times New Roman"/>
                <w:i/>
                <w:sz w:val="24"/>
                <w:szCs w:val="24"/>
                <w:lang w:val="en-US" w:eastAsia="ru-RU"/>
              </w:rPr>
              <w:t>7</w:t>
            </w:r>
          </w:p>
        </w:tc>
        <w:tc>
          <w:tcPr>
            <w:tcW w:w="9390" w:type="dxa"/>
          </w:tcPr>
          <w:p w:rsidR="006E3713" w:rsidRPr="009344BF" w:rsidRDefault="006E3713" w:rsidP="006D18CC">
            <w:pPr>
              <w:pStyle w:val="rvps2"/>
              <w:shd w:val="clear" w:color="auto" w:fill="FFFFFF"/>
              <w:spacing w:after="150"/>
              <w:jc w:val="both"/>
              <w:rPr>
                <w:color w:val="000000"/>
              </w:rPr>
            </w:pPr>
            <w:r w:rsidRPr="009344BF">
              <w:rPr>
                <w:color w:val="000000"/>
              </w:rPr>
              <w:t>Наявність інформації про ухилення від оподаткування, отриманої із зовнішніх джерел</w:t>
            </w:r>
          </w:p>
        </w:tc>
      </w:tr>
      <w:tr w:rsidR="006E3713" w:rsidRPr="009344BF" w:rsidTr="006D18CC">
        <w:tc>
          <w:tcPr>
            <w:tcW w:w="817" w:type="dxa"/>
            <w:vAlign w:val="center"/>
          </w:tcPr>
          <w:p w:rsidR="006E3713" w:rsidRPr="00BD6483" w:rsidRDefault="006E3713" w:rsidP="006D18CC">
            <w:pPr>
              <w:spacing w:line="240" w:lineRule="auto"/>
              <w:jc w:val="center"/>
              <w:rPr>
                <w:rFonts w:eastAsia="Times New Roman"/>
                <w:i/>
                <w:sz w:val="24"/>
                <w:szCs w:val="24"/>
                <w:lang w:val="en-US" w:eastAsia="ru-RU"/>
              </w:rPr>
            </w:pPr>
            <w:r>
              <w:rPr>
                <w:rFonts w:eastAsia="Times New Roman"/>
                <w:i/>
                <w:sz w:val="24"/>
                <w:szCs w:val="24"/>
                <w:lang w:eastAsia="ru-RU"/>
              </w:rPr>
              <w:t>2</w:t>
            </w:r>
            <w:r>
              <w:rPr>
                <w:rFonts w:eastAsia="Times New Roman"/>
                <w:i/>
                <w:sz w:val="24"/>
                <w:szCs w:val="24"/>
                <w:lang w:val="en-US" w:eastAsia="ru-RU"/>
              </w:rPr>
              <w:t>8</w:t>
            </w:r>
          </w:p>
        </w:tc>
        <w:tc>
          <w:tcPr>
            <w:tcW w:w="9390" w:type="dxa"/>
          </w:tcPr>
          <w:p w:rsidR="006E3713" w:rsidRPr="009344BF" w:rsidRDefault="006E3713" w:rsidP="006D18CC">
            <w:pPr>
              <w:pStyle w:val="rvps2"/>
              <w:shd w:val="clear" w:color="auto" w:fill="FFFFFF"/>
              <w:spacing w:after="150"/>
              <w:jc w:val="both"/>
              <w:rPr>
                <w:color w:val="000000"/>
              </w:rPr>
            </w:pPr>
            <w:r w:rsidRPr="009344BF">
              <w:rPr>
                <w:color w:val="000000"/>
              </w:rPr>
              <w:t>Показники податкової звітності</w:t>
            </w:r>
            <w:r>
              <w:rPr>
                <w:color w:val="000000"/>
              </w:rPr>
              <w:t xml:space="preserve"> нерезидентів</w:t>
            </w:r>
            <w:r w:rsidRPr="009344BF">
              <w:rPr>
                <w:color w:val="000000"/>
              </w:rPr>
              <w:t>, які характеризують діяльність</w:t>
            </w:r>
            <w:r>
              <w:rPr>
                <w:color w:val="000000"/>
              </w:rPr>
              <w:t xml:space="preserve"> їх</w:t>
            </w:r>
            <w:r w:rsidRPr="009344BF">
              <w:rPr>
                <w:color w:val="000000"/>
              </w:rPr>
              <w:t xml:space="preserve"> постійних представництв</w:t>
            </w:r>
            <w:r>
              <w:rPr>
                <w:color w:val="000000"/>
              </w:rPr>
              <w:t xml:space="preserve"> та</w:t>
            </w:r>
            <w:r w:rsidRPr="009344BF">
              <w:rPr>
                <w:color w:val="000000"/>
              </w:rPr>
              <w:t xml:space="preserve"> свідчать про можливість заниження податку на прибуток або ризики несплати податків </w:t>
            </w:r>
          </w:p>
        </w:tc>
      </w:tr>
      <w:tr w:rsidR="006E3713" w:rsidRPr="009344BF" w:rsidTr="006D18CC">
        <w:tc>
          <w:tcPr>
            <w:tcW w:w="817" w:type="dxa"/>
            <w:vAlign w:val="center"/>
          </w:tcPr>
          <w:p w:rsidR="006E3713" w:rsidRPr="00BD6483" w:rsidRDefault="006E3713" w:rsidP="006D18CC">
            <w:pPr>
              <w:spacing w:line="240" w:lineRule="auto"/>
              <w:jc w:val="center"/>
              <w:rPr>
                <w:rFonts w:eastAsia="Times New Roman"/>
                <w:i/>
                <w:sz w:val="24"/>
                <w:szCs w:val="24"/>
                <w:lang w:val="en-US" w:eastAsia="ru-RU"/>
              </w:rPr>
            </w:pPr>
            <w:r>
              <w:rPr>
                <w:rFonts w:eastAsia="Times New Roman"/>
                <w:i/>
                <w:sz w:val="24"/>
                <w:szCs w:val="24"/>
                <w:lang w:val="en-US" w:eastAsia="ru-RU"/>
              </w:rPr>
              <w:t>29</w:t>
            </w:r>
          </w:p>
        </w:tc>
        <w:tc>
          <w:tcPr>
            <w:tcW w:w="9390" w:type="dxa"/>
          </w:tcPr>
          <w:p w:rsidR="006E3713" w:rsidRPr="009344BF" w:rsidRDefault="006E3713" w:rsidP="006D18CC">
            <w:pPr>
              <w:spacing w:line="240" w:lineRule="auto"/>
              <w:rPr>
                <w:sz w:val="24"/>
                <w:szCs w:val="24"/>
              </w:rPr>
            </w:pPr>
            <w:r w:rsidRPr="009344BF">
              <w:rPr>
                <w:sz w:val="24"/>
                <w:szCs w:val="24"/>
              </w:rPr>
              <w:t>Значна частка взаємовідносин із нерезидентом в операціях платника податків</w:t>
            </w:r>
          </w:p>
        </w:tc>
      </w:tr>
      <w:tr w:rsidR="006E3713" w:rsidRPr="009344BF" w:rsidTr="006D18CC">
        <w:tc>
          <w:tcPr>
            <w:tcW w:w="817" w:type="dxa"/>
            <w:vAlign w:val="center"/>
          </w:tcPr>
          <w:p w:rsidR="006E3713" w:rsidRPr="00BD6483" w:rsidRDefault="006E3713" w:rsidP="006D18CC">
            <w:pPr>
              <w:spacing w:line="240" w:lineRule="auto"/>
              <w:jc w:val="center"/>
              <w:rPr>
                <w:rFonts w:eastAsia="Times New Roman"/>
                <w:i/>
                <w:sz w:val="24"/>
                <w:szCs w:val="24"/>
                <w:lang w:val="en-US" w:eastAsia="ru-RU"/>
              </w:rPr>
            </w:pPr>
            <w:r>
              <w:rPr>
                <w:rFonts w:eastAsia="Times New Roman"/>
                <w:i/>
                <w:sz w:val="24"/>
                <w:szCs w:val="24"/>
                <w:lang w:val="en-US" w:eastAsia="ru-RU"/>
              </w:rPr>
              <w:t>30</w:t>
            </w:r>
          </w:p>
        </w:tc>
        <w:tc>
          <w:tcPr>
            <w:tcW w:w="9390" w:type="dxa"/>
          </w:tcPr>
          <w:p w:rsidR="006E3713" w:rsidRPr="009344BF" w:rsidRDefault="006E3713" w:rsidP="006D18CC">
            <w:pPr>
              <w:spacing w:line="240" w:lineRule="auto"/>
              <w:rPr>
                <w:sz w:val="24"/>
                <w:szCs w:val="24"/>
              </w:rPr>
            </w:pPr>
            <w:r w:rsidRPr="009344BF">
              <w:rPr>
                <w:sz w:val="24"/>
                <w:szCs w:val="24"/>
              </w:rPr>
              <w:t xml:space="preserve">Наявність операцій з нерезидентами, зареєстрованими в </w:t>
            </w:r>
            <w:proofErr w:type="spellStart"/>
            <w:r w:rsidRPr="009344BF">
              <w:rPr>
                <w:sz w:val="24"/>
                <w:szCs w:val="24"/>
              </w:rPr>
              <w:t>низькоподаткових</w:t>
            </w:r>
            <w:proofErr w:type="spellEnd"/>
            <w:r w:rsidRPr="009344BF">
              <w:rPr>
                <w:sz w:val="24"/>
                <w:szCs w:val="24"/>
              </w:rPr>
              <w:t xml:space="preserve"> юрисдикціях</w:t>
            </w:r>
          </w:p>
        </w:tc>
      </w:tr>
      <w:tr w:rsidR="006E3713" w:rsidRPr="009344BF" w:rsidTr="006D18CC">
        <w:tc>
          <w:tcPr>
            <w:tcW w:w="817" w:type="dxa"/>
            <w:vAlign w:val="center"/>
          </w:tcPr>
          <w:p w:rsidR="006E3713" w:rsidRPr="00BD6483" w:rsidRDefault="006E3713" w:rsidP="006D18CC">
            <w:pPr>
              <w:spacing w:line="240" w:lineRule="auto"/>
              <w:jc w:val="center"/>
              <w:rPr>
                <w:rFonts w:eastAsia="Times New Roman"/>
                <w:i/>
                <w:sz w:val="24"/>
                <w:szCs w:val="24"/>
                <w:lang w:val="en-US" w:eastAsia="ru-RU"/>
              </w:rPr>
            </w:pPr>
            <w:r w:rsidRPr="009344BF">
              <w:rPr>
                <w:rFonts w:eastAsia="Times New Roman"/>
                <w:i/>
                <w:sz w:val="24"/>
                <w:szCs w:val="24"/>
                <w:lang w:eastAsia="ru-RU"/>
              </w:rPr>
              <w:t>3</w:t>
            </w:r>
            <w:r>
              <w:rPr>
                <w:rFonts w:eastAsia="Times New Roman"/>
                <w:i/>
                <w:sz w:val="24"/>
                <w:szCs w:val="24"/>
                <w:lang w:val="en-US" w:eastAsia="ru-RU"/>
              </w:rPr>
              <w:t>1</w:t>
            </w:r>
          </w:p>
        </w:tc>
        <w:tc>
          <w:tcPr>
            <w:tcW w:w="9390" w:type="dxa"/>
          </w:tcPr>
          <w:p w:rsidR="006E3713" w:rsidRPr="009344BF" w:rsidRDefault="006E3713" w:rsidP="006D18CC">
            <w:pPr>
              <w:spacing w:line="240" w:lineRule="auto"/>
              <w:rPr>
                <w:sz w:val="24"/>
                <w:szCs w:val="24"/>
              </w:rPr>
            </w:pPr>
            <w:r w:rsidRPr="009344BF">
              <w:rPr>
                <w:sz w:val="24"/>
                <w:szCs w:val="24"/>
              </w:rPr>
              <w:t>Наявність операцій з нерезидентами, зареєстрованими в організаційно-правових формах, що не передбачають сплати корпоративного податку / податку на прибуток в його юрисдикції</w:t>
            </w:r>
          </w:p>
        </w:tc>
      </w:tr>
      <w:tr w:rsidR="006E3713" w:rsidRPr="009344BF" w:rsidTr="006D18CC">
        <w:tc>
          <w:tcPr>
            <w:tcW w:w="817" w:type="dxa"/>
            <w:vAlign w:val="center"/>
          </w:tcPr>
          <w:p w:rsidR="006E3713" w:rsidRPr="00BD6483" w:rsidRDefault="006E3713" w:rsidP="006D18CC">
            <w:pPr>
              <w:spacing w:line="240" w:lineRule="auto"/>
              <w:jc w:val="center"/>
              <w:rPr>
                <w:rFonts w:eastAsia="Times New Roman"/>
                <w:i/>
                <w:sz w:val="24"/>
                <w:szCs w:val="24"/>
                <w:lang w:val="en-US" w:eastAsia="ru-RU"/>
              </w:rPr>
            </w:pPr>
            <w:r>
              <w:rPr>
                <w:rFonts w:eastAsia="Times New Roman"/>
                <w:i/>
                <w:sz w:val="24"/>
                <w:szCs w:val="24"/>
                <w:lang w:val="en-US" w:eastAsia="ru-RU"/>
              </w:rPr>
              <w:t>32</w:t>
            </w:r>
          </w:p>
        </w:tc>
        <w:tc>
          <w:tcPr>
            <w:tcW w:w="9390" w:type="dxa"/>
          </w:tcPr>
          <w:p w:rsidR="006E3713" w:rsidRPr="009344BF" w:rsidRDefault="006E3713" w:rsidP="006D18CC">
            <w:pPr>
              <w:spacing w:line="240" w:lineRule="auto"/>
              <w:rPr>
                <w:sz w:val="24"/>
                <w:szCs w:val="24"/>
              </w:rPr>
            </w:pPr>
            <w:r w:rsidRPr="009344BF">
              <w:rPr>
                <w:sz w:val="24"/>
                <w:szCs w:val="24"/>
              </w:rPr>
              <w:t xml:space="preserve">Операція скоріш за все не здійснювалася б коли мало місце розумне ведення бізнесу </w:t>
            </w:r>
          </w:p>
        </w:tc>
      </w:tr>
      <w:tr w:rsidR="006E3713" w:rsidRPr="009344BF" w:rsidTr="006D18CC">
        <w:tc>
          <w:tcPr>
            <w:tcW w:w="817" w:type="dxa"/>
            <w:vAlign w:val="center"/>
          </w:tcPr>
          <w:p w:rsidR="006E3713" w:rsidRPr="00BD6483" w:rsidRDefault="006E3713" w:rsidP="006D18CC">
            <w:pPr>
              <w:spacing w:line="240" w:lineRule="auto"/>
              <w:jc w:val="center"/>
              <w:rPr>
                <w:rFonts w:eastAsia="Times New Roman"/>
                <w:i/>
                <w:sz w:val="24"/>
                <w:szCs w:val="24"/>
                <w:lang w:val="en-US" w:eastAsia="ru-RU"/>
              </w:rPr>
            </w:pPr>
            <w:r>
              <w:rPr>
                <w:rFonts w:eastAsia="Times New Roman"/>
                <w:i/>
                <w:sz w:val="24"/>
                <w:szCs w:val="24"/>
                <w:lang w:val="en-US" w:eastAsia="ru-RU"/>
              </w:rPr>
              <w:t>33</w:t>
            </w:r>
          </w:p>
        </w:tc>
        <w:tc>
          <w:tcPr>
            <w:tcW w:w="9390" w:type="dxa"/>
          </w:tcPr>
          <w:p w:rsidR="006E3713" w:rsidRPr="009344BF" w:rsidRDefault="006E3713" w:rsidP="006D18CC">
            <w:pPr>
              <w:spacing w:line="240" w:lineRule="auto"/>
              <w:rPr>
                <w:sz w:val="24"/>
                <w:szCs w:val="24"/>
              </w:rPr>
            </w:pPr>
            <w:r w:rsidRPr="009344BF">
              <w:rPr>
                <w:sz w:val="24"/>
                <w:szCs w:val="24"/>
              </w:rPr>
              <w:t>Угода про уникнення подвійного оподаткування між Україною та країною нерезидента-контрагента дозволяє не сплачувати податок або сплачувати його у незначних розмірах</w:t>
            </w:r>
          </w:p>
        </w:tc>
      </w:tr>
      <w:tr w:rsidR="006E3713" w:rsidRPr="009344BF" w:rsidTr="006D18CC">
        <w:tc>
          <w:tcPr>
            <w:tcW w:w="817" w:type="dxa"/>
            <w:vAlign w:val="center"/>
          </w:tcPr>
          <w:p w:rsidR="006E3713" w:rsidRPr="00BD6483" w:rsidRDefault="006E3713" w:rsidP="006D18CC">
            <w:pPr>
              <w:spacing w:line="240" w:lineRule="auto"/>
              <w:jc w:val="center"/>
              <w:rPr>
                <w:rFonts w:eastAsia="Times New Roman"/>
                <w:i/>
                <w:sz w:val="24"/>
                <w:szCs w:val="24"/>
                <w:lang w:val="en-US" w:eastAsia="ru-RU"/>
              </w:rPr>
            </w:pPr>
            <w:r>
              <w:rPr>
                <w:rFonts w:eastAsia="Times New Roman"/>
                <w:i/>
                <w:sz w:val="24"/>
                <w:szCs w:val="24"/>
                <w:lang w:val="en-US" w:eastAsia="ru-RU"/>
              </w:rPr>
              <w:t>34</w:t>
            </w:r>
          </w:p>
        </w:tc>
        <w:tc>
          <w:tcPr>
            <w:tcW w:w="9390" w:type="dxa"/>
          </w:tcPr>
          <w:p w:rsidR="006E3713" w:rsidRPr="009344BF" w:rsidRDefault="006E3713" w:rsidP="006D18CC">
            <w:pPr>
              <w:spacing w:line="240" w:lineRule="auto"/>
              <w:rPr>
                <w:sz w:val="24"/>
                <w:szCs w:val="24"/>
              </w:rPr>
            </w:pPr>
            <w:r w:rsidRPr="009344BF">
              <w:rPr>
                <w:sz w:val="24"/>
                <w:szCs w:val="24"/>
              </w:rPr>
              <w:t>Наявність посередницьких договорів, укладених з нерезидентами</w:t>
            </w:r>
          </w:p>
        </w:tc>
      </w:tr>
      <w:tr w:rsidR="006E3713" w:rsidRPr="009344BF" w:rsidTr="006D18CC">
        <w:tc>
          <w:tcPr>
            <w:tcW w:w="817" w:type="dxa"/>
            <w:vAlign w:val="center"/>
          </w:tcPr>
          <w:p w:rsidR="006E3713" w:rsidRPr="00BD6483" w:rsidRDefault="006E3713" w:rsidP="006D18CC">
            <w:pPr>
              <w:spacing w:line="240" w:lineRule="auto"/>
              <w:jc w:val="center"/>
              <w:rPr>
                <w:rFonts w:eastAsia="Times New Roman"/>
                <w:i/>
                <w:sz w:val="24"/>
                <w:szCs w:val="24"/>
                <w:lang w:val="en-US" w:eastAsia="ru-RU"/>
              </w:rPr>
            </w:pPr>
            <w:r>
              <w:rPr>
                <w:rFonts w:eastAsia="Times New Roman"/>
                <w:i/>
                <w:sz w:val="24"/>
                <w:szCs w:val="24"/>
                <w:lang w:val="en-US" w:eastAsia="ru-RU"/>
              </w:rPr>
              <w:t>35</w:t>
            </w:r>
          </w:p>
        </w:tc>
        <w:tc>
          <w:tcPr>
            <w:tcW w:w="9390" w:type="dxa"/>
          </w:tcPr>
          <w:p w:rsidR="006E3713" w:rsidRPr="009344BF" w:rsidRDefault="006E3713" w:rsidP="006D18CC">
            <w:pPr>
              <w:spacing w:line="240" w:lineRule="auto"/>
              <w:rPr>
                <w:sz w:val="24"/>
                <w:szCs w:val="24"/>
              </w:rPr>
            </w:pPr>
            <w:r w:rsidRPr="009344BF">
              <w:rPr>
                <w:sz w:val="24"/>
                <w:szCs w:val="24"/>
              </w:rPr>
              <w:t xml:space="preserve">Наявність нерезидентів (юридичних або фізичних осіб) у складі засновників / </w:t>
            </w:r>
            <w:proofErr w:type="spellStart"/>
            <w:r w:rsidRPr="009344BF">
              <w:rPr>
                <w:sz w:val="24"/>
                <w:szCs w:val="24"/>
              </w:rPr>
              <w:t>бенефіціарних</w:t>
            </w:r>
            <w:proofErr w:type="spellEnd"/>
            <w:r w:rsidRPr="009344BF">
              <w:rPr>
                <w:sz w:val="24"/>
                <w:szCs w:val="24"/>
              </w:rPr>
              <w:t xml:space="preserve"> власників платника </w:t>
            </w:r>
          </w:p>
        </w:tc>
      </w:tr>
      <w:tr w:rsidR="006E3713" w:rsidRPr="009344BF" w:rsidTr="006D18CC">
        <w:tc>
          <w:tcPr>
            <w:tcW w:w="817" w:type="dxa"/>
            <w:vAlign w:val="center"/>
          </w:tcPr>
          <w:p w:rsidR="006E3713" w:rsidRPr="00BD6483" w:rsidRDefault="006E3713" w:rsidP="006D18CC">
            <w:pPr>
              <w:spacing w:line="240" w:lineRule="auto"/>
              <w:jc w:val="center"/>
              <w:rPr>
                <w:rFonts w:eastAsia="Times New Roman"/>
                <w:i/>
                <w:sz w:val="24"/>
                <w:szCs w:val="24"/>
                <w:lang w:val="en-US" w:eastAsia="ru-RU"/>
              </w:rPr>
            </w:pPr>
            <w:r>
              <w:rPr>
                <w:rFonts w:eastAsia="Times New Roman"/>
                <w:i/>
                <w:sz w:val="24"/>
                <w:szCs w:val="24"/>
                <w:lang w:eastAsia="ru-RU"/>
              </w:rPr>
              <w:t>3</w:t>
            </w:r>
            <w:r>
              <w:rPr>
                <w:rFonts w:eastAsia="Times New Roman"/>
                <w:i/>
                <w:sz w:val="24"/>
                <w:szCs w:val="24"/>
                <w:lang w:val="en-US" w:eastAsia="ru-RU"/>
              </w:rPr>
              <w:t>6</w:t>
            </w:r>
          </w:p>
        </w:tc>
        <w:tc>
          <w:tcPr>
            <w:tcW w:w="9390" w:type="dxa"/>
          </w:tcPr>
          <w:p w:rsidR="006E3713" w:rsidRPr="009344BF" w:rsidRDefault="006E3713" w:rsidP="006D18CC">
            <w:pPr>
              <w:spacing w:line="240" w:lineRule="auto"/>
              <w:rPr>
                <w:sz w:val="24"/>
                <w:szCs w:val="24"/>
              </w:rPr>
            </w:pPr>
            <w:r w:rsidRPr="009344BF">
              <w:rPr>
                <w:sz w:val="24"/>
                <w:szCs w:val="24"/>
              </w:rPr>
              <w:t xml:space="preserve">Здійснення операцій з фінансовими компаніями які є афілійованими або маловідомими, не мають репутації, не входять до профільних рейтингів тощо </w:t>
            </w:r>
          </w:p>
        </w:tc>
      </w:tr>
      <w:tr w:rsidR="006E3713" w:rsidRPr="009344BF" w:rsidTr="006D18CC">
        <w:tc>
          <w:tcPr>
            <w:tcW w:w="817" w:type="dxa"/>
            <w:vAlign w:val="center"/>
          </w:tcPr>
          <w:p w:rsidR="006E3713" w:rsidRPr="00BD6483" w:rsidRDefault="006E3713" w:rsidP="006D18CC">
            <w:pPr>
              <w:spacing w:line="240" w:lineRule="auto"/>
              <w:jc w:val="center"/>
              <w:rPr>
                <w:rFonts w:eastAsia="Times New Roman"/>
                <w:i/>
                <w:sz w:val="24"/>
                <w:szCs w:val="24"/>
                <w:lang w:val="en-US" w:eastAsia="ru-RU"/>
              </w:rPr>
            </w:pPr>
            <w:r>
              <w:rPr>
                <w:rFonts w:eastAsia="Times New Roman"/>
                <w:i/>
                <w:sz w:val="24"/>
                <w:szCs w:val="24"/>
                <w:lang w:eastAsia="ru-RU"/>
              </w:rPr>
              <w:t>3</w:t>
            </w:r>
            <w:r>
              <w:rPr>
                <w:rFonts w:eastAsia="Times New Roman"/>
                <w:i/>
                <w:sz w:val="24"/>
                <w:szCs w:val="24"/>
                <w:lang w:val="en-US" w:eastAsia="ru-RU"/>
              </w:rPr>
              <w:t>7</w:t>
            </w:r>
          </w:p>
        </w:tc>
        <w:tc>
          <w:tcPr>
            <w:tcW w:w="9390" w:type="dxa"/>
          </w:tcPr>
          <w:p w:rsidR="006E3713" w:rsidRPr="009344BF" w:rsidRDefault="006E3713" w:rsidP="006D18CC">
            <w:pPr>
              <w:spacing w:line="240" w:lineRule="auto"/>
              <w:rPr>
                <w:sz w:val="24"/>
                <w:szCs w:val="24"/>
              </w:rPr>
            </w:pPr>
            <w:r w:rsidRPr="009344BF">
              <w:rPr>
                <w:sz w:val="24"/>
                <w:szCs w:val="24"/>
              </w:rPr>
              <w:t>Виплата значних сум ліцензійних платежів</w:t>
            </w:r>
          </w:p>
        </w:tc>
      </w:tr>
      <w:tr w:rsidR="006E3713" w:rsidRPr="009344BF" w:rsidTr="006D18CC">
        <w:tc>
          <w:tcPr>
            <w:tcW w:w="817" w:type="dxa"/>
            <w:vAlign w:val="center"/>
          </w:tcPr>
          <w:p w:rsidR="006E3713" w:rsidRPr="00BD6483" w:rsidRDefault="006E3713" w:rsidP="006D18CC">
            <w:pPr>
              <w:spacing w:line="240" w:lineRule="auto"/>
              <w:jc w:val="center"/>
              <w:rPr>
                <w:rFonts w:eastAsia="Times New Roman"/>
                <w:i/>
                <w:sz w:val="24"/>
                <w:szCs w:val="24"/>
                <w:lang w:val="en-US" w:eastAsia="ru-RU"/>
              </w:rPr>
            </w:pPr>
            <w:r>
              <w:rPr>
                <w:rFonts w:eastAsia="Times New Roman"/>
                <w:i/>
                <w:sz w:val="24"/>
                <w:szCs w:val="24"/>
                <w:lang w:eastAsia="ru-RU"/>
              </w:rPr>
              <w:t>3</w:t>
            </w:r>
            <w:r>
              <w:rPr>
                <w:rFonts w:eastAsia="Times New Roman"/>
                <w:i/>
                <w:sz w:val="24"/>
                <w:szCs w:val="24"/>
                <w:lang w:val="en-US" w:eastAsia="ru-RU"/>
              </w:rPr>
              <w:t>8</w:t>
            </w:r>
          </w:p>
        </w:tc>
        <w:tc>
          <w:tcPr>
            <w:tcW w:w="9390" w:type="dxa"/>
          </w:tcPr>
          <w:p w:rsidR="006E3713" w:rsidRPr="009344BF" w:rsidRDefault="006E3713" w:rsidP="006D18CC">
            <w:pPr>
              <w:spacing w:line="240" w:lineRule="auto"/>
              <w:rPr>
                <w:sz w:val="24"/>
                <w:szCs w:val="24"/>
              </w:rPr>
            </w:pPr>
            <w:r w:rsidRPr="009344BF">
              <w:rPr>
                <w:sz w:val="24"/>
                <w:szCs w:val="24"/>
              </w:rPr>
              <w:t>Наявність заборгованості за кредитами / позиками / довгострокової кредиторської заборгованості перед нерезидентами – пов’язаними особами</w:t>
            </w:r>
          </w:p>
        </w:tc>
      </w:tr>
      <w:tr w:rsidR="006E3713" w:rsidRPr="009344BF" w:rsidTr="006D18CC">
        <w:tc>
          <w:tcPr>
            <w:tcW w:w="817" w:type="dxa"/>
            <w:vAlign w:val="center"/>
          </w:tcPr>
          <w:p w:rsidR="006E3713" w:rsidRPr="00BD6483" w:rsidRDefault="006E3713" w:rsidP="006D18CC">
            <w:pPr>
              <w:spacing w:line="240" w:lineRule="auto"/>
              <w:jc w:val="center"/>
              <w:rPr>
                <w:rFonts w:eastAsia="Times New Roman"/>
                <w:i/>
                <w:sz w:val="24"/>
                <w:szCs w:val="24"/>
                <w:lang w:val="en-US" w:eastAsia="ru-RU"/>
              </w:rPr>
            </w:pPr>
            <w:r>
              <w:rPr>
                <w:rFonts w:eastAsia="Times New Roman"/>
                <w:i/>
                <w:sz w:val="24"/>
                <w:szCs w:val="24"/>
                <w:lang w:val="en-US" w:eastAsia="ru-RU"/>
              </w:rPr>
              <w:t>39</w:t>
            </w:r>
          </w:p>
        </w:tc>
        <w:tc>
          <w:tcPr>
            <w:tcW w:w="9390" w:type="dxa"/>
          </w:tcPr>
          <w:p w:rsidR="006E3713" w:rsidRPr="009344BF" w:rsidRDefault="006E3713" w:rsidP="006D18CC">
            <w:pPr>
              <w:spacing w:line="240" w:lineRule="auto"/>
              <w:rPr>
                <w:sz w:val="24"/>
                <w:szCs w:val="24"/>
              </w:rPr>
            </w:pPr>
            <w:r w:rsidRPr="009344BF">
              <w:rPr>
                <w:sz w:val="24"/>
                <w:szCs w:val="24"/>
              </w:rPr>
              <w:t>Наявність виплат нерезидентам роялті, комісійних винагород, оплата послуг, відносно яких існують сумніви щодо реальності їх отримання платником податків</w:t>
            </w:r>
          </w:p>
        </w:tc>
      </w:tr>
      <w:tr w:rsidR="006E3713" w:rsidRPr="009344BF" w:rsidTr="006D18CC">
        <w:tc>
          <w:tcPr>
            <w:tcW w:w="817" w:type="dxa"/>
            <w:vAlign w:val="center"/>
          </w:tcPr>
          <w:p w:rsidR="006E3713" w:rsidRPr="00BD6483" w:rsidRDefault="006E3713" w:rsidP="006D18CC">
            <w:pPr>
              <w:spacing w:line="240" w:lineRule="auto"/>
              <w:jc w:val="center"/>
              <w:rPr>
                <w:rFonts w:eastAsia="Times New Roman"/>
                <w:i/>
                <w:sz w:val="24"/>
                <w:szCs w:val="24"/>
                <w:lang w:val="en-US" w:eastAsia="ru-RU"/>
              </w:rPr>
            </w:pPr>
            <w:r>
              <w:rPr>
                <w:rFonts w:eastAsia="Times New Roman"/>
                <w:i/>
                <w:sz w:val="24"/>
                <w:szCs w:val="24"/>
                <w:lang w:val="en-US" w:eastAsia="ru-RU"/>
              </w:rPr>
              <w:t>40</w:t>
            </w:r>
          </w:p>
        </w:tc>
        <w:tc>
          <w:tcPr>
            <w:tcW w:w="9390" w:type="dxa"/>
          </w:tcPr>
          <w:p w:rsidR="006E3713" w:rsidRPr="009344BF" w:rsidRDefault="006E3713" w:rsidP="006D18CC">
            <w:pPr>
              <w:spacing w:line="240" w:lineRule="auto"/>
              <w:rPr>
                <w:sz w:val="24"/>
                <w:szCs w:val="24"/>
              </w:rPr>
            </w:pPr>
            <w:r w:rsidRPr="009344BF">
              <w:rPr>
                <w:sz w:val="24"/>
                <w:szCs w:val="24"/>
              </w:rPr>
              <w:t xml:space="preserve">Наявність незавершеного виробництва станом на останню звітну дату  </w:t>
            </w:r>
          </w:p>
        </w:tc>
      </w:tr>
      <w:tr w:rsidR="006E3713" w:rsidRPr="009344BF" w:rsidTr="006D18CC">
        <w:tc>
          <w:tcPr>
            <w:tcW w:w="817" w:type="dxa"/>
            <w:vAlign w:val="center"/>
          </w:tcPr>
          <w:p w:rsidR="006E3713" w:rsidRPr="00BD6483" w:rsidRDefault="006E3713" w:rsidP="006D18CC">
            <w:pPr>
              <w:spacing w:line="240" w:lineRule="auto"/>
              <w:jc w:val="center"/>
              <w:rPr>
                <w:rFonts w:eastAsia="Times New Roman"/>
                <w:i/>
                <w:sz w:val="24"/>
                <w:szCs w:val="24"/>
                <w:lang w:val="en-US" w:eastAsia="ru-RU"/>
              </w:rPr>
            </w:pPr>
            <w:r>
              <w:rPr>
                <w:rFonts w:eastAsia="Times New Roman"/>
                <w:i/>
                <w:sz w:val="24"/>
                <w:szCs w:val="24"/>
                <w:lang w:val="en-US" w:eastAsia="ru-RU"/>
              </w:rPr>
              <w:t>41</w:t>
            </w:r>
          </w:p>
        </w:tc>
        <w:tc>
          <w:tcPr>
            <w:tcW w:w="9390" w:type="dxa"/>
          </w:tcPr>
          <w:p w:rsidR="006E3713" w:rsidRPr="009344BF" w:rsidRDefault="006E3713" w:rsidP="006D18CC">
            <w:pPr>
              <w:spacing w:line="240" w:lineRule="auto"/>
              <w:rPr>
                <w:sz w:val="24"/>
                <w:szCs w:val="24"/>
              </w:rPr>
            </w:pPr>
            <w:r w:rsidRPr="009344BF">
              <w:rPr>
                <w:sz w:val="24"/>
                <w:szCs w:val="24"/>
              </w:rPr>
              <w:t xml:space="preserve">Взаємовідносини з ризиковими контрагентами </w:t>
            </w:r>
          </w:p>
        </w:tc>
      </w:tr>
      <w:tr w:rsidR="006E3713" w:rsidRPr="009344BF" w:rsidTr="006D18CC">
        <w:tc>
          <w:tcPr>
            <w:tcW w:w="817" w:type="dxa"/>
            <w:vAlign w:val="center"/>
          </w:tcPr>
          <w:p w:rsidR="006E3713" w:rsidRPr="00BD6483" w:rsidRDefault="006E3713" w:rsidP="006D18CC">
            <w:pPr>
              <w:spacing w:line="240" w:lineRule="auto"/>
              <w:jc w:val="center"/>
              <w:rPr>
                <w:rFonts w:eastAsia="Times New Roman"/>
                <w:i/>
                <w:sz w:val="24"/>
                <w:szCs w:val="24"/>
                <w:lang w:val="en-US" w:eastAsia="ru-RU"/>
              </w:rPr>
            </w:pPr>
            <w:r>
              <w:rPr>
                <w:rFonts w:eastAsia="Times New Roman"/>
                <w:i/>
                <w:sz w:val="24"/>
                <w:szCs w:val="24"/>
                <w:lang w:val="en-US" w:eastAsia="ru-RU"/>
              </w:rPr>
              <w:t>42</w:t>
            </w:r>
          </w:p>
        </w:tc>
        <w:tc>
          <w:tcPr>
            <w:tcW w:w="9390" w:type="dxa"/>
          </w:tcPr>
          <w:p w:rsidR="006E3713" w:rsidRPr="009344BF" w:rsidRDefault="006E3713" w:rsidP="006D18CC">
            <w:pPr>
              <w:spacing w:line="240" w:lineRule="auto"/>
              <w:rPr>
                <w:sz w:val="24"/>
                <w:szCs w:val="24"/>
              </w:rPr>
            </w:pPr>
            <w:r w:rsidRPr="009344BF">
              <w:rPr>
                <w:sz w:val="24"/>
                <w:szCs w:val="24"/>
              </w:rPr>
              <w:t>Низька сума задекларованого до сплати податку внаслідок відображення податкових різниць, подання уточнюючих розрахунків, відображення операцій наприкінці звітного періоду</w:t>
            </w:r>
          </w:p>
        </w:tc>
      </w:tr>
      <w:tr w:rsidR="006E3713" w:rsidRPr="009344BF" w:rsidTr="006D18CC">
        <w:tc>
          <w:tcPr>
            <w:tcW w:w="817" w:type="dxa"/>
            <w:vAlign w:val="center"/>
          </w:tcPr>
          <w:p w:rsidR="006E3713" w:rsidRPr="00BD6483" w:rsidRDefault="006E3713" w:rsidP="006D18CC">
            <w:pPr>
              <w:spacing w:line="240" w:lineRule="auto"/>
              <w:jc w:val="center"/>
              <w:rPr>
                <w:rFonts w:eastAsia="Times New Roman"/>
                <w:i/>
                <w:sz w:val="24"/>
                <w:szCs w:val="24"/>
                <w:lang w:val="en-US" w:eastAsia="ru-RU"/>
              </w:rPr>
            </w:pPr>
            <w:r>
              <w:rPr>
                <w:rFonts w:eastAsia="Times New Roman"/>
                <w:i/>
                <w:sz w:val="24"/>
                <w:szCs w:val="24"/>
                <w:lang w:val="en-US" w:eastAsia="ru-RU"/>
              </w:rPr>
              <w:t>43</w:t>
            </w:r>
          </w:p>
        </w:tc>
        <w:tc>
          <w:tcPr>
            <w:tcW w:w="9390" w:type="dxa"/>
          </w:tcPr>
          <w:p w:rsidR="006E3713" w:rsidRPr="009344BF" w:rsidRDefault="006E3713" w:rsidP="006D18CC">
            <w:pPr>
              <w:spacing w:line="240" w:lineRule="auto"/>
              <w:rPr>
                <w:sz w:val="24"/>
                <w:szCs w:val="24"/>
              </w:rPr>
            </w:pPr>
            <w:r w:rsidRPr="009344BF">
              <w:rPr>
                <w:sz w:val="24"/>
                <w:szCs w:val="24"/>
              </w:rPr>
              <w:t>Низька рентабельність собівартості продукції</w:t>
            </w:r>
          </w:p>
        </w:tc>
      </w:tr>
      <w:tr w:rsidR="006E3713" w:rsidRPr="009344BF" w:rsidTr="006D18CC">
        <w:tc>
          <w:tcPr>
            <w:tcW w:w="817" w:type="dxa"/>
            <w:vAlign w:val="center"/>
          </w:tcPr>
          <w:p w:rsidR="006E3713" w:rsidRPr="00BD6483" w:rsidRDefault="006E3713" w:rsidP="006D18CC">
            <w:pPr>
              <w:spacing w:line="240" w:lineRule="auto"/>
              <w:jc w:val="center"/>
              <w:rPr>
                <w:rFonts w:eastAsia="Times New Roman"/>
                <w:i/>
                <w:sz w:val="24"/>
                <w:szCs w:val="24"/>
                <w:lang w:val="en-US" w:eastAsia="ru-RU"/>
              </w:rPr>
            </w:pPr>
            <w:r>
              <w:rPr>
                <w:rFonts w:eastAsia="Times New Roman"/>
                <w:i/>
                <w:sz w:val="24"/>
                <w:szCs w:val="24"/>
                <w:lang w:val="en-US" w:eastAsia="ru-RU"/>
              </w:rPr>
              <w:t>44</w:t>
            </w:r>
          </w:p>
        </w:tc>
        <w:tc>
          <w:tcPr>
            <w:tcW w:w="9390" w:type="dxa"/>
          </w:tcPr>
          <w:p w:rsidR="006E3713" w:rsidRPr="009344BF" w:rsidRDefault="006E3713" w:rsidP="006D18CC">
            <w:pPr>
              <w:spacing w:line="240" w:lineRule="auto"/>
              <w:rPr>
                <w:sz w:val="24"/>
                <w:szCs w:val="24"/>
              </w:rPr>
            </w:pPr>
            <w:r w:rsidRPr="009344BF">
              <w:rPr>
                <w:sz w:val="24"/>
                <w:szCs w:val="24"/>
              </w:rPr>
              <w:t xml:space="preserve">Непрозора система обліку і списання витрат на виробництво </w:t>
            </w:r>
          </w:p>
        </w:tc>
      </w:tr>
      <w:tr w:rsidR="006E3713" w:rsidRPr="006E3713" w:rsidTr="006D18CC">
        <w:tc>
          <w:tcPr>
            <w:tcW w:w="817" w:type="dxa"/>
            <w:vAlign w:val="center"/>
          </w:tcPr>
          <w:p w:rsidR="006E3713" w:rsidRPr="00BD6483" w:rsidRDefault="006E3713" w:rsidP="006D18CC">
            <w:pPr>
              <w:spacing w:line="240" w:lineRule="auto"/>
              <w:jc w:val="center"/>
              <w:rPr>
                <w:rFonts w:eastAsia="Times New Roman"/>
                <w:i/>
                <w:sz w:val="24"/>
                <w:szCs w:val="24"/>
                <w:lang w:val="en-US" w:eastAsia="ru-RU"/>
              </w:rPr>
            </w:pPr>
            <w:r>
              <w:rPr>
                <w:rFonts w:eastAsia="Times New Roman"/>
                <w:i/>
                <w:sz w:val="24"/>
                <w:szCs w:val="24"/>
                <w:lang w:val="en-US" w:eastAsia="ru-RU"/>
              </w:rPr>
              <w:t>45</w:t>
            </w:r>
          </w:p>
        </w:tc>
        <w:tc>
          <w:tcPr>
            <w:tcW w:w="9390" w:type="dxa"/>
          </w:tcPr>
          <w:p w:rsidR="006E3713" w:rsidRPr="009344BF" w:rsidRDefault="006E3713" w:rsidP="006D18CC">
            <w:pPr>
              <w:spacing w:line="240" w:lineRule="auto"/>
              <w:rPr>
                <w:sz w:val="24"/>
                <w:szCs w:val="24"/>
              </w:rPr>
            </w:pPr>
            <w:r w:rsidRPr="009344BF">
              <w:rPr>
                <w:sz w:val="24"/>
                <w:szCs w:val="24"/>
              </w:rPr>
              <w:t>Середній розмір заробітної плати є нижчим ніж у відповідній галузі</w:t>
            </w:r>
          </w:p>
        </w:tc>
      </w:tr>
      <w:tr w:rsidR="006E3713" w:rsidRPr="009344BF" w:rsidTr="006D18CC">
        <w:tc>
          <w:tcPr>
            <w:tcW w:w="817" w:type="dxa"/>
            <w:vAlign w:val="center"/>
          </w:tcPr>
          <w:p w:rsidR="006E3713" w:rsidRPr="00BD6483" w:rsidRDefault="006E3713" w:rsidP="006D18CC">
            <w:pPr>
              <w:spacing w:line="240" w:lineRule="auto"/>
              <w:jc w:val="center"/>
              <w:rPr>
                <w:rFonts w:eastAsia="Times New Roman"/>
                <w:i/>
                <w:sz w:val="24"/>
                <w:szCs w:val="24"/>
                <w:lang w:val="en-US" w:eastAsia="ru-RU"/>
              </w:rPr>
            </w:pPr>
            <w:r>
              <w:rPr>
                <w:rFonts w:eastAsia="Times New Roman"/>
                <w:i/>
                <w:sz w:val="24"/>
                <w:szCs w:val="24"/>
                <w:lang w:val="en-US" w:eastAsia="ru-RU"/>
              </w:rPr>
              <w:t>46</w:t>
            </w:r>
          </w:p>
        </w:tc>
        <w:tc>
          <w:tcPr>
            <w:tcW w:w="9390" w:type="dxa"/>
          </w:tcPr>
          <w:p w:rsidR="006E3713" w:rsidRPr="009344BF" w:rsidRDefault="006E3713" w:rsidP="006D18CC">
            <w:pPr>
              <w:spacing w:line="240" w:lineRule="auto"/>
              <w:rPr>
                <w:sz w:val="24"/>
                <w:szCs w:val="24"/>
              </w:rPr>
            </w:pPr>
            <w:r w:rsidRPr="009344BF">
              <w:rPr>
                <w:sz w:val="24"/>
                <w:szCs w:val="24"/>
              </w:rPr>
              <w:t>Значні обсяги реалізації товарів (робіт, послуг) за готівку</w:t>
            </w:r>
          </w:p>
        </w:tc>
      </w:tr>
      <w:tr w:rsidR="006E3713" w:rsidRPr="009344BF" w:rsidTr="006D18CC">
        <w:tc>
          <w:tcPr>
            <w:tcW w:w="817" w:type="dxa"/>
            <w:vAlign w:val="center"/>
          </w:tcPr>
          <w:p w:rsidR="006E3713" w:rsidRPr="00BD6483" w:rsidRDefault="006E3713" w:rsidP="006D18CC">
            <w:pPr>
              <w:spacing w:line="240" w:lineRule="auto"/>
              <w:jc w:val="center"/>
              <w:rPr>
                <w:rFonts w:eastAsia="Times New Roman"/>
                <w:i/>
                <w:sz w:val="24"/>
                <w:szCs w:val="24"/>
                <w:lang w:val="en-US" w:eastAsia="ru-RU"/>
              </w:rPr>
            </w:pPr>
            <w:r>
              <w:rPr>
                <w:rFonts w:eastAsia="Times New Roman"/>
                <w:i/>
                <w:sz w:val="24"/>
                <w:szCs w:val="24"/>
                <w:lang w:val="en-US" w:eastAsia="ru-RU"/>
              </w:rPr>
              <w:t>47</w:t>
            </w:r>
          </w:p>
        </w:tc>
        <w:tc>
          <w:tcPr>
            <w:tcW w:w="9390" w:type="dxa"/>
          </w:tcPr>
          <w:p w:rsidR="006E3713" w:rsidRPr="009344BF" w:rsidRDefault="006E3713" w:rsidP="006D18CC">
            <w:pPr>
              <w:spacing w:line="240" w:lineRule="auto"/>
              <w:rPr>
                <w:sz w:val="24"/>
                <w:szCs w:val="24"/>
              </w:rPr>
            </w:pPr>
            <w:r w:rsidRPr="009344BF">
              <w:rPr>
                <w:sz w:val="24"/>
                <w:szCs w:val="24"/>
              </w:rPr>
              <w:t xml:space="preserve">Наявність серед засновників, керівного персоналу, контрагентів осіб, зареєстрованих на непідконтрольній Україні території. </w:t>
            </w:r>
          </w:p>
        </w:tc>
      </w:tr>
      <w:tr w:rsidR="006E3713" w:rsidRPr="009344BF" w:rsidTr="006D18CC">
        <w:tc>
          <w:tcPr>
            <w:tcW w:w="817" w:type="dxa"/>
            <w:vAlign w:val="center"/>
          </w:tcPr>
          <w:p w:rsidR="006E3713" w:rsidRPr="00BD6483" w:rsidRDefault="006E3713" w:rsidP="006D18CC">
            <w:pPr>
              <w:spacing w:line="240" w:lineRule="auto"/>
              <w:jc w:val="center"/>
              <w:rPr>
                <w:rFonts w:eastAsia="Times New Roman"/>
                <w:i/>
                <w:sz w:val="24"/>
                <w:szCs w:val="24"/>
                <w:lang w:val="en-US" w:eastAsia="ru-RU"/>
              </w:rPr>
            </w:pPr>
            <w:r>
              <w:rPr>
                <w:rFonts w:eastAsia="Times New Roman"/>
                <w:i/>
                <w:sz w:val="24"/>
                <w:szCs w:val="24"/>
                <w:lang w:val="en-US" w:eastAsia="ru-RU"/>
              </w:rPr>
              <w:t>48</w:t>
            </w:r>
          </w:p>
        </w:tc>
        <w:tc>
          <w:tcPr>
            <w:tcW w:w="9390" w:type="dxa"/>
          </w:tcPr>
          <w:p w:rsidR="006E3713" w:rsidRPr="009344BF" w:rsidRDefault="006E3713" w:rsidP="006D18CC">
            <w:pPr>
              <w:spacing w:line="240" w:lineRule="auto"/>
              <w:rPr>
                <w:sz w:val="24"/>
                <w:szCs w:val="24"/>
              </w:rPr>
            </w:pPr>
            <w:r w:rsidRPr="009344BF">
              <w:rPr>
                <w:sz w:val="24"/>
                <w:szCs w:val="24"/>
              </w:rPr>
              <w:t xml:space="preserve">Операція призводить до значних податкових </w:t>
            </w:r>
            <w:proofErr w:type="spellStart"/>
            <w:r w:rsidRPr="009344BF">
              <w:rPr>
                <w:sz w:val="24"/>
                <w:szCs w:val="24"/>
              </w:rPr>
              <w:t>вигод</w:t>
            </w:r>
            <w:proofErr w:type="spellEnd"/>
            <w:r w:rsidRPr="009344BF">
              <w:rPr>
                <w:sz w:val="24"/>
                <w:szCs w:val="24"/>
              </w:rPr>
              <w:t xml:space="preserve"> чи відстрочення податкових платежів</w:t>
            </w:r>
          </w:p>
        </w:tc>
      </w:tr>
      <w:tr w:rsidR="006E3713" w:rsidRPr="009344BF" w:rsidTr="006D18CC">
        <w:tc>
          <w:tcPr>
            <w:tcW w:w="817" w:type="dxa"/>
            <w:vAlign w:val="center"/>
          </w:tcPr>
          <w:p w:rsidR="006E3713" w:rsidRPr="00BD6483" w:rsidRDefault="006E3713" w:rsidP="006D18CC">
            <w:pPr>
              <w:spacing w:line="240" w:lineRule="auto"/>
              <w:jc w:val="center"/>
              <w:rPr>
                <w:rFonts w:eastAsia="Times New Roman"/>
                <w:i/>
                <w:sz w:val="24"/>
                <w:szCs w:val="24"/>
                <w:lang w:val="en-US" w:eastAsia="ru-RU"/>
              </w:rPr>
            </w:pPr>
            <w:r>
              <w:rPr>
                <w:rFonts w:eastAsia="Times New Roman"/>
                <w:i/>
                <w:sz w:val="24"/>
                <w:szCs w:val="24"/>
                <w:lang w:val="en-US" w:eastAsia="ru-RU"/>
              </w:rPr>
              <w:t>49</w:t>
            </w:r>
          </w:p>
        </w:tc>
        <w:tc>
          <w:tcPr>
            <w:tcW w:w="9390" w:type="dxa"/>
          </w:tcPr>
          <w:p w:rsidR="006E3713" w:rsidRPr="009344BF" w:rsidRDefault="006E3713" w:rsidP="006D18CC">
            <w:pPr>
              <w:spacing w:line="240" w:lineRule="auto"/>
              <w:rPr>
                <w:sz w:val="24"/>
                <w:szCs w:val="24"/>
              </w:rPr>
            </w:pPr>
            <w:r w:rsidRPr="009344BF">
              <w:rPr>
                <w:sz w:val="24"/>
                <w:szCs w:val="24"/>
              </w:rPr>
              <w:t>Подання уточнюючих розрахунків на значні суми без збільшення сум податкових зобов’язань до сплати</w:t>
            </w:r>
          </w:p>
        </w:tc>
      </w:tr>
      <w:tr w:rsidR="006E3713" w:rsidRPr="009344BF" w:rsidTr="006D18CC">
        <w:tc>
          <w:tcPr>
            <w:tcW w:w="817" w:type="dxa"/>
            <w:vAlign w:val="center"/>
          </w:tcPr>
          <w:p w:rsidR="006E3713" w:rsidRPr="00BD6483" w:rsidRDefault="006E3713" w:rsidP="006D18CC">
            <w:pPr>
              <w:spacing w:line="240" w:lineRule="auto"/>
              <w:jc w:val="center"/>
              <w:rPr>
                <w:rFonts w:eastAsia="Times New Roman"/>
                <w:i/>
                <w:sz w:val="24"/>
                <w:szCs w:val="24"/>
                <w:lang w:val="en-US" w:eastAsia="ru-RU"/>
              </w:rPr>
            </w:pPr>
            <w:r>
              <w:rPr>
                <w:rFonts w:eastAsia="Times New Roman"/>
                <w:i/>
                <w:sz w:val="24"/>
                <w:szCs w:val="24"/>
                <w:lang w:val="en-US" w:eastAsia="ru-RU"/>
              </w:rPr>
              <w:t>50</w:t>
            </w:r>
          </w:p>
        </w:tc>
        <w:tc>
          <w:tcPr>
            <w:tcW w:w="9390" w:type="dxa"/>
          </w:tcPr>
          <w:p w:rsidR="006E3713" w:rsidRPr="009344BF" w:rsidRDefault="006E3713" w:rsidP="006D18CC">
            <w:pPr>
              <w:spacing w:line="240" w:lineRule="auto"/>
              <w:rPr>
                <w:sz w:val="24"/>
                <w:szCs w:val="24"/>
              </w:rPr>
            </w:pPr>
            <w:r w:rsidRPr="009344BF">
              <w:rPr>
                <w:sz w:val="24"/>
                <w:szCs w:val="24"/>
              </w:rPr>
              <w:t xml:space="preserve">Здійснення істотних авансових внесків постачальникам без оприбуткування товарів (робіт, послуг) у звітному періоді </w:t>
            </w:r>
          </w:p>
        </w:tc>
      </w:tr>
      <w:tr w:rsidR="006E3713" w:rsidRPr="009344BF" w:rsidTr="006D18CC">
        <w:tc>
          <w:tcPr>
            <w:tcW w:w="817" w:type="dxa"/>
            <w:vAlign w:val="center"/>
          </w:tcPr>
          <w:p w:rsidR="006E3713" w:rsidRPr="00BD6483" w:rsidRDefault="006E3713" w:rsidP="006D18CC">
            <w:pPr>
              <w:spacing w:line="240" w:lineRule="auto"/>
              <w:jc w:val="center"/>
              <w:rPr>
                <w:rFonts w:eastAsia="Times New Roman"/>
                <w:i/>
                <w:sz w:val="24"/>
                <w:szCs w:val="24"/>
                <w:lang w:val="en-US" w:eastAsia="ru-RU"/>
              </w:rPr>
            </w:pPr>
            <w:r>
              <w:rPr>
                <w:rFonts w:eastAsia="Times New Roman"/>
                <w:i/>
                <w:sz w:val="24"/>
                <w:szCs w:val="24"/>
                <w:lang w:val="en-US" w:eastAsia="ru-RU"/>
              </w:rPr>
              <w:t>51</w:t>
            </w:r>
          </w:p>
        </w:tc>
        <w:tc>
          <w:tcPr>
            <w:tcW w:w="9390" w:type="dxa"/>
          </w:tcPr>
          <w:p w:rsidR="006E3713" w:rsidRPr="009344BF" w:rsidRDefault="006E3713" w:rsidP="006D18CC">
            <w:pPr>
              <w:spacing w:line="240" w:lineRule="auto"/>
              <w:rPr>
                <w:sz w:val="24"/>
                <w:szCs w:val="24"/>
              </w:rPr>
            </w:pPr>
            <w:r w:rsidRPr="009344BF">
              <w:rPr>
                <w:sz w:val="24"/>
                <w:szCs w:val="24"/>
              </w:rPr>
              <w:t>Значний обсяг задекларованих податкових пільг/преференцій</w:t>
            </w:r>
          </w:p>
        </w:tc>
      </w:tr>
      <w:tr w:rsidR="006E3713" w:rsidRPr="009344BF" w:rsidTr="006D18CC">
        <w:tc>
          <w:tcPr>
            <w:tcW w:w="817" w:type="dxa"/>
            <w:vAlign w:val="center"/>
          </w:tcPr>
          <w:p w:rsidR="006E3713" w:rsidRPr="00BD6483" w:rsidRDefault="006E3713" w:rsidP="006D18CC">
            <w:pPr>
              <w:spacing w:line="240" w:lineRule="auto"/>
              <w:jc w:val="center"/>
              <w:rPr>
                <w:rFonts w:eastAsia="Times New Roman"/>
                <w:i/>
                <w:sz w:val="24"/>
                <w:szCs w:val="24"/>
                <w:lang w:val="en-US" w:eastAsia="ru-RU"/>
              </w:rPr>
            </w:pPr>
            <w:r>
              <w:rPr>
                <w:rFonts w:eastAsia="Times New Roman"/>
                <w:i/>
                <w:sz w:val="24"/>
                <w:szCs w:val="24"/>
                <w:lang w:val="en-US" w:eastAsia="ru-RU"/>
              </w:rPr>
              <w:t>52</w:t>
            </w:r>
          </w:p>
        </w:tc>
        <w:tc>
          <w:tcPr>
            <w:tcW w:w="9390" w:type="dxa"/>
          </w:tcPr>
          <w:p w:rsidR="006E3713" w:rsidRPr="009344BF" w:rsidRDefault="006E3713" w:rsidP="006D18CC">
            <w:pPr>
              <w:spacing w:line="240" w:lineRule="auto"/>
              <w:rPr>
                <w:sz w:val="24"/>
                <w:szCs w:val="24"/>
              </w:rPr>
            </w:pPr>
            <w:r w:rsidRPr="009344BF">
              <w:rPr>
                <w:sz w:val="24"/>
                <w:szCs w:val="24"/>
              </w:rPr>
              <w:t xml:space="preserve">Операції на позабіржовому ринку цінних паперів </w:t>
            </w:r>
          </w:p>
        </w:tc>
      </w:tr>
      <w:tr w:rsidR="006E3713" w:rsidRPr="009344BF" w:rsidTr="006D18CC">
        <w:tc>
          <w:tcPr>
            <w:tcW w:w="817" w:type="dxa"/>
            <w:vAlign w:val="center"/>
          </w:tcPr>
          <w:p w:rsidR="006E3713" w:rsidRPr="00BD6483" w:rsidRDefault="006E3713" w:rsidP="006D18CC">
            <w:pPr>
              <w:spacing w:line="240" w:lineRule="auto"/>
              <w:jc w:val="center"/>
              <w:rPr>
                <w:rFonts w:eastAsia="Times New Roman"/>
                <w:i/>
                <w:sz w:val="24"/>
                <w:szCs w:val="24"/>
                <w:lang w:val="en-US" w:eastAsia="ru-RU"/>
              </w:rPr>
            </w:pPr>
            <w:r>
              <w:rPr>
                <w:rFonts w:eastAsia="Times New Roman"/>
                <w:i/>
                <w:sz w:val="24"/>
                <w:szCs w:val="24"/>
                <w:lang w:val="en-US" w:eastAsia="ru-RU"/>
              </w:rPr>
              <w:t>53</w:t>
            </w:r>
          </w:p>
        </w:tc>
        <w:tc>
          <w:tcPr>
            <w:tcW w:w="9390" w:type="dxa"/>
          </w:tcPr>
          <w:p w:rsidR="006E3713" w:rsidRPr="009344BF" w:rsidRDefault="006E3713" w:rsidP="006D18CC">
            <w:pPr>
              <w:spacing w:line="240" w:lineRule="auto"/>
              <w:rPr>
                <w:sz w:val="24"/>
                <w:szCs w:val="24"/>
              </w:rPr>
            </w:pPr>
            <w:r w:rsidRPr="009344BF">
              <w:rPr>
                <w:sz w:val="24"/>
                <w:szCs w:val="24"/>
              </w:rPr>
              <w:t>Розрахунки за векселями</w:t>
            </w:r>
          </w:p>
        </w:tc>
      </w:tr>
      <w:tr w:rsidR="006E3713" w:rsidRPr="009344BF" w:rsidTr="006D18CC">
        <w:tc>
          <w:tcPr>
            <w:tcW w:w="817" w:type="dxa"/>
            <w:vAlign w:val="center"/>
          </w:tcPr>
          <w:p w:rsidR="006E3713" w:rsidRPr="00BD6483" w:rsidRDefault="006E3713" w:rsidP="006D18CC">
            <w:pPr>
              <w:spacing w:line="240" w:lineRule="auto"/>
              <w:jc w:val="center"/>
              <w:rPr>
                <w:rFonts w:eastAsia="Times New Roman"/>
                <w:i/>
                <w:sz w:val="24"/>
                <w:szCs w:val="24"/>
                <w:lang w:val="en-US" w:eastAsia="ru-RU"/>
              </w:rPr>
            </w:pPr>
            <w:r>
              <w:rPr>
                <w:rFonts w:eastAsia="Times New Roman"/>
                <w:i/>
                <w:sz w:val="24"/>
                <w:szCs w:val="24"/>
                <w:lang w:val="en-US" w:eastAsia="ru-RU"/>
              </w:rPr>
              <w:t>54</w:t>
            </w:r>
          </w:p>
        </w:tc>
        <w:tc>
          <w:tcPr>
            <w:tcW w:w="9390" w:type="dxa"/>
          </w:tcPr>
          <w:p w:rsidR="006E3713" w:rsidRPr="009344BF" w:rsidRDefault="006E3713" w:rsidP="006D18CC">
            <w:pPr>
              <w:spacing w:line="240" w:lineRule="auto"/>
              <w:rPr>
                <w:sz w:val="24"/>
                <w:szCs w:val="24"/>
              </w:rPr>
            </w:pPr>
            <w:r w:rsidRPr="009344BF">
              <w:rPr>
                <w:sz w:val="24"/>
                <w:szCs w:val="24"/>
              </w:rPr>
              <w:t>Наявність у платника філій, відокремлених підрозділів, підприємств, у яких платник податків є засновником</w:t>
            </w:r>
          </w:p>
        </w:tc>
      </w:tr>
      <w:tr w:rsidR="006E3713" w:rsidRPr="009344BF" w:rsidTr="006D18CC">
        <w:tc>
          <w:tcPr>
            <w:tcW w:w="817" w:type="dxa"/>
            <w:vAlign w:val="center"/>
          </w:tcPr>
          <w:p w:rsidR="006E3713" w:rsidRPr="00BD6483" w:rsidRDefault="006E3713" w:rsidP="006D18CC">
            <w:pPr>
              <w:spacing w:line="240" w:lineRule="auto"/>
              <w:jc w:val="center"/>
              <w:rPr>
                <w:rFonts w:eastAsia="Times New Roman"/>
                <w:i/>
                <w:sz w:val="24"/>
                <w:szCs w:val="24"/>
                <w:lang w:val="en-US" w:eastAsia="ru-RU"/>
              </w:rPr>
            </w:pPr>
            <w:r>
              <w:rPr>
                <w:rFonts w:eastAsia="Times New Roman"/>
                <w:i/>
                <w:sz w:val="24"/>
                <w:szCs w:val="24"/>
                <w:lang w:val="en-US" w:eastAsia="ru-RU"/>
              </w:rPr>
              <w:t>55</w:t>
            </w:r>
          </w:p>
        </w:tc>
        <w:tc>
          <w:tcPr>
            <w:tcW w:w="9390" w:type="dxa"/>
          </w:tcPr>
          <w:p w:rsidR="006E3713" w:rsidRPr="009344BF" w:rsidRDefault="006E3713" w:rsidP="006D18CC">
            <w:pPr>
              <w:spacing w:line="240" w:lineRule="auto"/>
              <w:rPr>
                <w:sz w:val="24"/>
                <w:szCs w:val="24"/>
              </w:rPr>
            </w:pPr>
            <w:r w:rsidRPr="009344BF">
              <w:rPr>
                <w:sz w:val="24"/>
                <w:szCs w:val="24"/>
              </w:rPr>
              <w:t>Здійснення операцій за непрямими договорами</w:t>
            </w:r>
          </w:p>
        </w:tc>
      </w:tr>
      <w:tr w:rsidR="006E3713" w:rsidRPr="009344BF" w:rsidTr="006D18CC">
        <w:tc>
          <w:tcPr>
            <w:tcW w:w="817" w:type="dxa"/>
            <w:vAlign w:val="center"/>
          </w:tcPr>
          <w:p w:rsidR="006E3713" w:rsidRPr="00BD6483" w:rsidRDefault="006E3713" w:rsidP="006D18CC">
            <w:pPr>
              <w:spacing w:line="240" w:lineRule="auto"/>
              <w:jc w:val="center"/>
              <w:rPr>
                <w:rFonts w:eastAsia="Times New Roman"/>
                <w:i/>
                <w:sz w:val="24"/>
                <w:szCs w:val="24"/>
                <w:lang w:val="en-US" w:eastAsia="ru-RU"/>
              </w:rPr>
            </w:pPr>
            <w:r>
              <w:rPr>
                <w:rFonts w:eastAsia="Times New Roman"/>
                <w:i/>
                <w:sz w:val="24"/>
                <w:szCs w:val="24"/>
                <w:lang w:val="en-US" w:eastAsia="ru-RU"/>
              </w:rPr>
              <w:t>56</w:t>
            </w:r>
          </w:p>
        </w:tc>
        <w:tc>
          <w:tcPr>
            <w:tcW w:w="9390" w:type="dxa"/>
          </w:tcPr>
          <w:p w:rsidR="006E3713" w:rsidRPr="009344BF" w:rsidRDefault="006E3713" w:rsidP="006D18CC">
            <w:pPr>
              <w:spacing w:line="240" w:lineRule="auto"/>
              <w:rPr>
                <w:sz w:val="24"/>
                <w:szCs w:val="24"/>
              </w:rPr>
            </w:pPr>
            <w:r w:rsidRPr="009344BF">
              <w:rPr>
                <w:sz w:val="24"/>
                <w:szCs w:val="24"/>
              </w:rPr>
              <w:t>Наявність безнадійної дебіторської / кредиторської заборгованості станом на початок і кінець звітного року</w:t>
            </w:r>
          </w:p>
        </w:tc>
      </w:tr>
      <w:tr w:rsidR="006E3713" w:rsidRPr="009344BF" w:rsidTr="006D18CC">
        <w:tc>
          <w:tcPr>
            <w:tcW w:w="817" w:type="dxa"/>
            <w:vAlign w:val="center"/>
          </w:tcPr>
          <w:p w:rsidR="006E3713" w:rsidRPr="00BD6483" w:rsidRDefault="006E3713" w:rsidP="006D18CC">
            <w:pPr>
              <w:spacing w:line="240" w:lineRule="auto"/>
              <w:jc w:val="center"/>
              <w:rPr>
                <w:rFonts w:eastAsia="Times New Roman"/>
                <w:i/>
                <w:sz w:val="24"/>
                <w:szCs w:val="24"/>
                <w:lang w:val="en-US" w:eastAsia="ru-RU"/>
              </w:rPr>
            </w:pPr>
            <w:r>
              <w:rPr>
                <w:rFonts w:eastAsia="Times New Roman"/>
                <w:i/>
                <w:sz w:val="24"/>
                <w:szCs w:val="24"/>
                <w:lang w:val="en-US" w:eastAsia="ru-RU"/>
              </w:rPr>
              <w:t>57</w:t>
            </w:r>
          </w:p>
        </w:tc>
        <w:tc>
          <w:tcPr>
            <w:tcW w:w="9390" w:type="dxa"/>
          </w:tcPr>
          <w:p w:rsidR="006E3713" w:rsidRPr="009344BF" w:rsidRDefault="006E3713" w:rsidP="006D18CC">
            <w:pPr>
              <w:spacing w:line="240" w:lineRule="auto"/>
              <w:rPr>
                <w:sz w:val="24"/>
                <w:szCs w:val="24"/>
              </w:rPr>
            </w:pPr>
            <w:r w:rsidRPr="009344BF">
              <w:rPr>
                <w:sz w:val="24"/>
                <w:szCs w:val="24"/>
              </w:rPr>
              <w:t>Наявність судових справ, де позивачем / відповідачем є платник податків</w:t>
            </w:r>
          </w:p>
        </w:tc>
      </w:tr>
      <w:tr w:rsidR="006E3713" w:rsidRPr="009344BF" w:rsidTr="006D18CC">
        <w:tc>
          <w:tcPr>
            <w:tcW w:w="817" w:type="dxa"/>
            <w:vAlign w:val="center"/>
          </w:tcPr>
          <w:p w:rsidR="006E3713" w:rsidRPr="00BD6483" w:rsidRDefault="006E3713" w:rsidP="006D18CC">
            <w:pPr>
              <w:spacing w:line="240" w:lineRule="auto"/>
              <w:jc w:val="center"/>
              <w:rPr>
                <w:rFonts w:eastAsia="Times New Roman"/>
                <w:i/>
                <w:sz w:val="24"/>
                <w:szCs w:val="24"/>
                <w:lang w:val="en-US" w:eastAsia="ru-RU"/>
              </w:rPr>
            </w:pPr>
            <w:r>
              <w:rPr>
                <w:rFonts w:eastAsia="Times New Roman"/>
                <w:i/>
                <w:sz w:val="24"/>
                <w:szCs w:val="24"/>
                <w:lang w:val="en-US" w:eastAsia="ru-RU"/>
              </w:rPr>
              <w:lastRenderedPageBreak/>
              <w:t>58</w:t>
            </w:r>
          </w:p>
        </w:tc>
        <w:tc>
          <w:tcPr>
            <w:tcW w:w="9390" w:type="dxa"/>
          </w:tcPr>
          <w:p w:rsidR="006E3713" w:rsidRPr="009344BF" w:rsidRDefault="006E3713" w:rsidP="006D18CC">
            <w:pPr>
              <w:spacing w:line="240" w:lineRule="auto"/>
              <w:rPr>
                <w:sz w:val="24"/>
                <w:szCs w:val="24"/>
              </w:rPr>
            </w:pPr>
            <w:r w:rsidRPr="009344BF">
              <w:rPr>
                <w:sz w:val="24"/>
                <w:szCs w:val="24"/>
              </w:rPr>
              <w:t>Наявність іншої податкової інформації, що свідчить про факти або ознаки порушень податкового законодавства</w:t>
            </w:r>
          </w:p>
        </w:tc>
      </w:tr>
    </w:tbl>
    <w:p w:rsidR="006E3713" w:rsidRDefault="006E3713" w:rsidP="006E3713">
      <w:pPr>
        <w:jc w:val="center"/>
        <w:rPr>
          <w:szCs w:val="28"/>
        </w:rPr>
      </w:pPr>
    </w:p>
    <w:p w:rsidR="006E3713" w:rsidRPr="00C405DA" w:rsidRDefault="006E3713" w:rsidP="006E3713">
      <w:pPr>
        <w:rPr>
          <w:lang w:val="uk-UA"/>
        </w:rPr>
      </w:pPr>
    </w:p>
    <w:p w:rsidR="006E3713" w:rsidRPr="0012489C" w:rsidRDefault="006E3713" w:rsidP="006E3713">
      <w:pPr>
        <w:jc w:val="center"/>
      </w:pPr>
    </w:p>
    <w:p w:rsidR="006E3713" w:rsidRPr="0036757C" w:rsidRDefault="006E3713" w:rsidP="006E3713">
      <w:pPr>
        <w:tabs>
          <w:tab w:val="left" w:pos="6390"/>
        </w:tabs>
        <w:spacing w:line="240" w:lineRule="auto"/>
        <w:ind w:firstLine="567"/>
        <w:rPr>
          <w:rFonts w:eastAsia="Times New Roman"/>
          <w:szCs w:val="28"/>
          <w:lang w:val="uk-UA" w:eastAsia="ru-RU"/>
        </w:rPr>
      </w:pPr>
    </w:p>
    <w:p w:rsidR="00CC33D8" w:rsidRPr="006E3713" w:rsidRDefault="00CC33D8">
      <w:pPr>
        <w:rPr>
          <w:lang w:val="uk-UA"/>
        </w:rPr>
      </w:pPr>
    </w:p>
    <w:sectPr w:rsidR="00CC33D8" w:rsidRPr="006E3713" w:rsidSect="003A6AC0">
      <w:headerReference w:type="default" r:id="rId6"/>
      <w:pgSz w:w="11906" w:h="16838"/>
      <w:pgMar w:top="1134" w:right="567" w:bottom="1134"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3328317"/>
      <w:docPartObj>
        <w:docPartGallery w:val="Page Numbers (Top of Page)"/>
        <w:docPartUnique/>
      </w:docPartObj>
    </w:sdtPr>
    <w:sdtEndPr>
      <w:rPr>
        <w:sz w:val="24"/>
        <w:szCs w:val="24"/>
      </w:rPr>
    </w:sdtEndPr>
    <w:sdtContent>
      <w:p w:rsidR="002551FD" w:rsidRPr="006E3909" w:rsidRDefault="000D7817">
        <w:pPr>
          <w:pStyle w:val="a4"/>
          <w:jc w:val="center"/>
          <w:rPr>
            <w:sz w:val="24"/>
            <w:szCs w:val="24"/>
          </w:rPr>
        </w:pPr>
        <w:r w:rsidRPr="006E3909">
          <w:rPr>
            <w:sz w:val="24"/>
            <w:szCs w:val="24"/>
          </w:rPr>
          <w:fldChar w:fldCharType="begin"/>
        </w:r>
        <w:r w:rsidRPr="006E3909">
          <w:rPr>
            <w:sz w:val="24"/>
            <w:szCs w:val="24"/>
          </w:rPr>
          <w:instrText>PAGE   \* MERGEFORMAT</w:instrText>
        </w:r>
        <w:r w:rsidRPr="006E3909">
          <w:rPr>
            <w:sz w:val="24"/>
            <w:szCs w:val="24"/>
          </w:rPr>
          <w:fldChar w:fldCharType="separate"/>
        </w:r>
        <w:r w:rsidRPr="000D7817">
          <w:rPr>
            <w:noProof/>
            <w:sz w:val="24"/>
            <w:szCs w:val="24"/>
            <w:lang w:val="uk-UA"/>
          </w:rPr>
          <w:t>4</w:t>
        </w:r>
        <w:r w:rsidRPr="006E3909">
          <w:rPr>
            <w:sz w:val="24"/>
            <w:szCs w:val="24"/>
          </w:rPr>
          <w:fldChar w:fldCharType="end"/>
        </w:r>
      </w:p>
    </w:sdtContent>
  </w:sdt>
  <w:p w:rsidR="002551FD" w:rsidRPr="003B24B6" w:rsidRDefault="000D7817">
    <w:pPr>
      <w:pStyle w:val="a4"/>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DF13AA"/>
    <w:multiLevelType w:val="hybridMultilevel"/>
    <w:tmpl w:val="48844636"/>
    <w:lvl w:ilvl="0" w:tplc="EB04A2D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13"/>
    <w:rsid w:val="000D7817"/>
    <w:rsid w:val="006E3713"/>
    <w:rsid w:val="00CC3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7CADB-4B7E-4E6E-8EAC-7F5CB4D3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713"/>
    <w:pPr>
      <w:spacing w:after="0" w:line="360" w:lineRule="auto"/>
      <w:jc w:val="both"/>
    </w:pPr>
    <w:rPr>
      <w:rFonts w:ascii="Times New Roman" w:eastAsia="Calibri" w:hAnsi="Times New Roman" w:cs="Times New Roman"/>
      <w:sz w:val="28"/>
    </w:rPr>
  </w:style>
  <w:style w:type="paragraph" w:styleId="2">
    <w:name w:val="heading 2"/>
    <w:basedOn w:val="a"/>
    <w:next w:val="a"/>
    <w:link w:val="20"/>
    <w:uiPriority w:val="9"/>
    <w:unhideWhenUsed/>
    <w:qFormat/>
    <w:rsid w:val="006E3713"/>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E3713"/>
    <w:rPr>
      <w:rFonts w:asciiTheme="majorHAnsi" w:eastAsiaTheme="majorEastAsia" w:hAnsiTheme="majorHAnsi" w:cstheme="majorBidi"/>
      <w:b/>
      <w:bCs/>
      <w:color w:val="5B9BD5" w:themeColor="accent1"/>
      <w:sz w:val="26"/>
      <w:szCs w:val="26"/>
    </w:rPr>
  </w:style>
  <w:style w:type="table" w:styleId="a3">
    <w:name w:val="Table Grid"/>
    <w:basedOn w:val="a1"/>
    <w:uiPriority w:val="59"/>
    <w:rsid w:val="006E3713"/>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E3713"/>
    <w:pPr>
      <w:tabs>
        <w:tab w:val="center" w:pos="4819"/>
        <w:tab w:val="right" w:pos="9639"/>
      </w:tabs>
      <w:spacing w:line="240" w:lineRule="auto"/>
    </w:pPr>
  </w:style>
  <w:style w:type="character" w:customStyle="1" w:styleId="a5">
    <w:name w:val="Верхний колонтитул Знак"/>
    <w:basedOn w:val="a0"/>
    <w:link w:val="a4"/>
    <w:uiPriority w:val="99"/>
    <w:rsid w:val="006E3713"/>
    <w:rPr>
      <w:rFonts w:ascii="Times New Roman" w:eastAsia="Calibri" w:hAnsi="Times New Roman" w:cs="Times New Roman"/>
      <w:sz w:val="28"/>
    </w:rPr>
  </w:style>
  <w:style w:type="paragraph" w:customStyle="1" w:styleId="rvps2">
    <w:name w:val="rvps2"/>
    <w:basedOn w:val="a"/>
    <w:rsid w:val="006E3713"/>
    <w:pPr>
      <w:spacing w:before="100" w:beforeAutospacing="1" w:after="100" w:afterAutospacing="1" w:line="240" w:lineRule="auto"/>
      <w:jc w:val="left"/>
    </w:pPr>
    <w:rPr>
      <w:rFonts w:eastAsia="Times New Roman"/>
      <w:sz w:val="24"/>
      <w:szCs w:val="24"/>
      <w:lang w:eastAsia="ru-RU"/>
    </w:rPr>
  </w:style>
  <w:style w:type="character" w:styleId="a6">
    <w:name w:val="Hyperlink"/>
    <w:uiPriority w:val="99"/>
    <w:unhideWhenUsed/>
    <w:rsid w:val="006E37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zakon.rada.gov.ua/laws/show/z0111-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1865</Words>
  <Characters>10637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2</cp:revision>
  <dcterms:created xsi:type="dcterms:W3CDTF">2023-06-27T09:13:00Z</dcterms:created>
  <dcterms:modified xsi:type="dcterms:W3CDTF">2023-06-27T09:15:00Z</dcterms:modified>
</cp:coreProperties>
</file>