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534665">
      <w:pPr>
        <w:spacing w:after="0"/>
        <w:ind w:firstLine="240"/>
        <w:jc w:val="right"/>
      </w:pPr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01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0" w:name="27"/>
      <w:r w:rsidRPr="00E93194">
        <w:rPr>
          <w:rFonts w:ascii="Arial"/>
          <w:color w:val="000000"/>
          <w:sz w:val="27"/>
          <w:lang w:val="ru-RU"/>
        </w:rPr>
        <w:t>Типовий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договір</w:t>
      </w:r>
      <w:r w:rsidRPr="00E93194">
        <w:rPr>
          <w:lang w:val="ru-RU"/>
        </w:rPr>
        <w:br/>
      </w:r>
      <w:r w:rsidRPr="00E93194">
        <w:rPr>
          <w:rFonts w:ascii="Arial"/>
          <w:color w:val="000000"/>
          <w:sz w:val="27"/>
          <w:lang w:val="ru-RU"/>
        </w:rPr>
        <w:t>про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взаємодію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постачальників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електронних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комунікаційних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мереж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та</w:t>
      </w:r>
      <w:r w:rsidRPr="00E93194">
        <w:rPr>
          <w:rFonts w:ascii="Arial"/>
          <w:color w:val="000000"/>
          <w:sz w:val="27"/>
          <w:lang w:val="ru-RU"/>
        </w:rPr>
        <w:t>/</w:t>
      </w:r>
      <w:r w:rsidRPr="00E93194">
        <w:rPr>
          <w:rFonts w:ascii="Arial"/>
          <w:color w:val="000000"/>
          <w:sz w:val="27"/>
          <w:lang w:val="ru-RU"/>
        </w:rPr>
        <w:t>або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послуг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з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Національним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центром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оперативно</w:t>
      </w:r>
      <w:r w:rsidRPr="00E93194">
        <w:rPr>
          <w:rFonts w:ascii="Arial"/>
          <w:color w:val="000000"/>
          <w:sz w:val="27"/>
          <w:lang w:val="ru-RU"/>
        </w:rPr>
        <w:t>-</w:t>
      </w:r>
      <w:r w:rsidRPr="00E93194">
        <w:rPr>
          <w:rFonts w:ascii="Arial"/>
          <w:color w:val="000000"/>
          <w:sz w:val="27"/>
          <w:lang w:val="ru-RU"/>
        </w:rPr>
        <w:t>технічного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управління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електронними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комунікаційними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мережами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2"/>
        <w:gridCol w:w="3355"/>
      </w:tblGrid>
      <w:tr w:rsidR="00534665" w:rsidTr="00DD338E">
        <w:trPr>
          <w:trHeight w:val="120"/>
          <w:tblCellSpacing w:w="0" w:type="auto"/>
        </w:trPr>
        <w:tc>
          <w:tcPr>
            <w:tcW w:w="6105" w:type="dxa"/>
            <w:vAlign w:val="center"/>
          </w:tcPr>
          <w:p w:rsidR="00534665" w:rsidRDefault="00534665" w:rsidP="00DD338E">
            <w:pPr>
              <w:spacing w:after="0"/>
            </w:pPr>
            <w:bookmarkStart w:id="1" w:name="28"/>
            <w:bookmarkEnd w:id="0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2" w:name="29"/>
            <w:bookmarkEnd w:id="1"/>
            <w:r>
              <w:rPr>
                <w:rFonts w:ascii="Arial"/>
                <w:color w:val="000000"/>
                <w:sz w:val="15"/>
              </w:rPr>
              <w:t xml:space="preserve">___ 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"/>
      </w:tr>
      <w:tr w:rsidR="00534665" w:rsidTr="00DD338E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534665" w:rsidRDefault="00534665" w:rsidP="00DD338E">
            <w:pPr>
              <w:spacing w:after="0"/>
            </w:pPr>
            <w:bookmarkStart w:id="3" w:name="30"/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НЦУ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"/>
      </w:tr>
    </w:tbl>
    <w:p w:rsidR="00534665" w:rsidRDefault="00534665" w:rsidP="00534665">
      <w:r>
        <w:br/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4" w:name="31"/>
      <w:r>
        <w:rPr>
          <w:rFonts w:ascii="Arial"/>
          <w:color w:val="000000"/>
          <w:sz w:val="27"/>
        </w:rPr>
        <w:t>I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Загальні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положення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" w:name="32"/>
      <w:bookmarkEnd w:id="4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визначає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Національним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" w:name="33"/>
      <w:bookmarkEnd w:id="5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терміни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вживаються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значеннях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наведених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комунікації</w:t>
      </w:r>
      <w:r w:rsidRPr="00E93194">
        <w:rPr>
          <w:rFonts w:ascii="Arial"/>
          <w:color w:val="000000"/>
          <w:sz w:val="18"/>
          <w:lang w:val="ru-RU"/>
        </w:rPr>
        <w:t>",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правовий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режим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>",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правовий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режим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"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нормативно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правових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актах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сфері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7" w:name="34"/>
      <w:bookmarkEnd w:id="6"/>
      <w:r>
        <w:rPr>
          <w:rFonts w:ascii="Arial"/>
          <w:color w:val="000000"/>
          <w:sz w:val="27"/>
        </w:rPr>
        <w:t>II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Предмет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та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мета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Договору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8" w:name="35"/>
      <w:bookmarkEnd w:id="7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Предметом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встановлення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організаційно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9" w:name="36"/>
      <w:bookmarkEnd w:id="8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саме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0" w:name="37"/>
      <w:bookmarkEnd w:id="9"/>
      <w:r w:rsidRPr="00E93194">
        <w:rPr>
          <w:rFonts w:ascii="Arial"/>
          <w:color w:val="000000"/>
          <w:sz w:val="18"/>
          <w:lang w:val="ru-RU"/>
        </w:rPr>
        <w:t>безперервного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ефективного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1" w:name="38"/>
      <w:bookmarkEnd w:id="10"/>
      <w:r w:rsidRPr="00E93194">
        <w:rPr>
          <w:rFonts w:ascii="Arial"/>
          <w:color w:val="000000"/>
          <w:sz w:val="18"/>
          <w:lang w:val="ru-RU"/>
        </w:rPr>
        <w:t>організації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заходів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відновлення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усунення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пошкоджень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перевантажень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також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контролю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заходів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2" w:name="39"/>
      <w:bookmarkEnd w:id="11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обміну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інформацією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мирного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3" w:name="40"/>
      <w:bookmarkEnd w:id="12"/>
      <w:r w:rsidRPr="00E93194">
        <w:rPr>
          <w:rFonts w:ascii="Arial"/>
          <w:color w:val="000000"/>
          <w:sz w:val="18"/>
          <w:lang w:val="ru-RU"/>
        </w:rPr>
        <w:t xml:space="preserve">3)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навчання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готовності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завдань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4" w:name="41"/>
      <w:bookmarkEnd w:id="13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Метою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можливості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загального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користування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15" w:name="42"/>
      <w:bookmarkEnd w:id="14"/>
      <w:r>
        <w:rPr>
          <w:rFonts w:ascii="Arial"/>
          <w:color w:val="000000"/>
          <w:sz w:val="27"/>
        </w:rPr>
        <w:t>III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Права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та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обов</w:t>
      </w:r>
      <w:r w:rsidRPr="00E93194">
        <w:rPr>
          <w:rFonts w:ascii="Arial"/>
          <w:color w:val="000000"/>
          <w:sz w:val="27"/>
          <w:lang w:val="ru-RU"/>
        </w:rPr>
        <w:t>'</w:t>
      </w:r>
      <w:r w:rsidRPr="00E93194">
        <w:rPr>
          <w:rFonts w:ascii="Arial"/>
          <w:color w:val="000000"/>
          <w:sz w:val="27"/>
          <w:lang w:val="ru-RU"/>
        </w:rPr>
        <w:t>язки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Сторін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6" w:name="43"/>
      <w:bookmarkEnd w:id="15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право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7" w:name="44"/>
      <w:bookmarkEnd w:id="16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мирного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своєчасно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обсязі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обсязі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встановлює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Кабінет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Міністрів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8" w:name="45"/>
      <w:bookmarkEnd w:id="17"/>
      <w:r w:rsidRPr="00E93194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своєчасно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обсязі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супроводжуються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перериванням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спеціальним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споживачам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далі</w:t>
      </w:r>
      <w:r w:rsidRPr="00E93194">
        <w:rPr>
          <w:rFonts w:ascii="Arial"/>
          <w:color w:val="000000"/>
          <w:sz w:val="18"/>
          <w:lang w:val="ru-RU"/>
        </w:rPr>
        <w:t xml:space="preserve"> - </w:t>
      </w:r>
      <w:r w:rsidRPr="00E93194">
        <w:rPr>
          <w:rFonts w:ascii="Arial"/>
          <w:color w:val="000000"/>
          <w:sz w:val="18"/>
          <w:lang w:val="ru-RU"/>
        </w:rPr>
        <w:t>спецспоживач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обсязі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встановлює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Кабінет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Міністрів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19" w:name="46"/>
      <w:bookmarkEnd w:id="18"/>
      <w:r w:rsidRPr="00E93194">
        <w:rPr>
          <w:rFonts w:ascii="Arial"/>
          <w:color w:val="000000"/>
          <w:sz w:val="18"/>
          <w:lang w:val="ru-RU"/>
        </w:rPr>
        <w:t xml:space="preserve">3)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видавати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щодо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язковими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оператором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Такі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набирають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чинності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прийняття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передбачено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самими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розпорядженнями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0" w:name="47"/>
      <w:bookmarkEnd w:id="19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язаний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1" w:name="48"/>
      <w:bookmarkEnd w:id="20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здійснювати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через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постачальників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>/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далі</w:t>
      </w:r>
      <w:r w:rsidRPr="00E93194">
        <w:rPr>
          <w:rFonts w:ascii="Arial"/>
          <w:color w:val="000000"/>
          <w:sz w:val="18"/>
          <w:lang w:val="ru-RU"/>
        </w:rPr>
        <w:t xml:space="preserve"> - </w:t>
      </w:r>
      <w:r w:rsidRPr="00E93194">
        <w:rPr>
          <w:rFonts w:ascii="Arial"/>
          <w:color w:val="000000"/>
          <w:sz w:val="18"/>
          <w:lang w:val="ru-RU"/>
        </w:rPr>
        <w:t>центр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центри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>);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2" w:name="49"/>
      <w:bookmarkEnd w:id="21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повідомляти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перехід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режиму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встановленого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введенням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також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прийняті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3" w:name="50"/>
      <w:bookmarkEnd w:id="22"/>
      <w:r w:rsidRPr="00E93194">
        <w:rPr>
          <w:rFonts w:ascii="Arial"/>
          <w:color w:val="000000"/>
          <w:sz w:val="18"/>
          <w:lang w:val="ru-RU"/>
        </w:rPr>
        <w:t xml:space="preserve">3) </w:t>
      </w:r>
      <w:r w:rsidRPr="00E93194">
        <w:rPr>
          <w:rFonts w:ascii="Arial"/>
          <w:color w:val="000000"/>
          <w:sz w:val="18"/>
          <w:lang w:val="ru-RU"/>
        </w:rPr>
        <w:t>повідомляти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зміну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контактних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осіб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контактних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даних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шляхом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надсилання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листів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застосуванням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положень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документи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документообіг</w:t>
      </w:r>
      <w:r w:rsidRPr="00E93194">
        <w:rPr>
          <w:rFonts w:ascii="Arial"/>
          <w:color w:val="000000"/>
          <w:sz w:val="18"/>
          <w:lang w:val="ru-RU"/>
        </w:rPr>
        <w:t xml:space="preserve">"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довірчі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послуги</w:t>
      </w:r>
      <w:r w:rsidRPr="00E93194">
        <w:rPr>
          <w:rFonts w:ascii="Arial"/>
          <w:color w:val="000000"/>
          <w:sz w:val="18"/>
          <w:lang w:val="ru-RU"/>
        </w:rPr>
        <w:t>";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4" w:name="51"/>
      <w:bookmarkEnd w:id="23"/>
      <w:r w:rsidRPr="00E93194">
        <w:rPr>
          <w:rFonts w:ascii="Arial"/>
          <w:color w:val="000000"/>
          <w:sz w:val="18"/>
          <w:lang w:val="ru-RU"/>
        </w:rPr>
        <w:t xml:space="preserve">4)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захист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безпекою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всіх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етапах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передачі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приймання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опрацювання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збереження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встановленому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5" w:name="52"/>
      <w:bookmarkEnd w:id="24"/>
      <w:r w:rsidRPr="00E93194">
        <w:rPr>
          <w:rFonts w:ascii="Arial"/>
          <w:color w:val="000000"/>
          <w:sz w:val="18"/>
          <w:lang w:val="ru-RU"/>
        </w:rPr>
        <w:t xml:space="preserve">5)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режиму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приймати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заборону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профілактичних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ремонтно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налагоджувальних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робіт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інформувати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6" w:name="53"/>
      <w:bookmarkEnd w:id="25"/>
      <w:r w:rsidRPr="00E93194">
        <w:rPr>
          <w:rFonts w:ascii="Arial"/>
          <w:color w:val="000000"/>
          <w:sz w:val="18"/>
          <w:lang w:val="ru-RU"/>
        </w:rPr>
        <w:t xml:space="preserve">6)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звернення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допомагати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межах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компетенції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проблем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виникають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27" w:name="54"/>
      <w:bookmarkEnd w:id="26"/>
      <w:r w:rsidRPr="00E93194">
        <w:rPr>
          <w:rFonts w:ascii="Arial"/>
          <w:color w:val="000000"/>
          <w:sz w:val="18"/>
          <w:lang w:val="ru-RU"/>
        </w:rPr>
        <w:t xml:space="preserve">7)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організацію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підтримку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функціонування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інформаційно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аналітичної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системи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точки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технічних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засобів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Схемою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основним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резервним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пунктами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наведеною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додатку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погодженою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Сторонами</w:t>
      </w:r>
      <w:r w:rsidRPr="00534665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8" w:name="55"/>
      <w:bookmarkEnd w:id="27"/>
      <w:r w:rsidRPr="00E93194">
        <w:rPr>
          <w:rFonts w:ascii="Arial"/>
          <w:color w:val="000000"/>
          <w:sz w:val="18"/>
          <w:lang w:val="ru-RU"/>
        </w:rPr>
        <w:t xml:space="preserve">8) </w:t>
      </w:r>
      <w:r w:rsidRPr="00E93194">
        <w:rPr>
          <w:rFonts w:ascii="Arial"/>
          <w:color w:val="000000"/>
          <w:sz w:val="18"/>
          <w:lang w:val="ru-RU"/>
        </w:rPr>
        <w:t>організовувати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проводити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навчання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персоналу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персоналу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служб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ремонту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відновлення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щодо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програмою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затвердженою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Адміністрацією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Держспецзв</w:t>
      </w:r>
      <w:r w:rsidRPr="00534665">
        <w:rPr>
          <w:rFonts w:ascii="Arial"/>
          <w:color w:val="000000"/>
          <w:sz w:val="18"/>
          <w:lang w:val="ru-RU"/>
        </w:rPr>
        <w:t>'</w:t>
      </w:r>
      <w:r w:rsidRPr="00534665">
        <w:rPr>
          <w:rFonts w:ascii="Arial"/>
          <w:color w:val="000000"/>
          <w:sz w:val="18"/>
          <w:lang w:val="ru-RU"/>
        </w:rPr>
        <w:t>язку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з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періодичністю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встановленою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Кабінетом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Міністрів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України</w:t>
      </w:r>
      <w:r w:rsidRPr="00534665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Під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використовувати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незадіяні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ресурси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29" w:name="56"/>
      <w:bookmarkEnd w:id="28"/>
      <w:r w:rsidRPr="00E93194">
        <w:rPr>
          <w:rFonts w:ascii="Arial"/>
          <w:color w:val="000000"/>
          <w:sz w:val="18"/>
          <w:lang w:val="ru-RU"/>
        </w:rPr>
        <w:t xml:space="preserve">9)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розголошення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витоку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отриманої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негайно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повідомляти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факт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0" w:name="57"/>
      <w:bookmarkEnd w:id="29"/>
      <w:r w:rsidRPr="00E93194">
        <w:rPr>
          <w:rFonts w:ascii="Arial"/>
          <w:color w:val="000000"/>
          <w:sz w:val="18"/>
          <w:lang w:val="ru-RU"/>
        </w:rPr>
        <w:t xml:space="preserve">3. </w:t>
      </w:r>
      <w:r w:rsidRPr="00E93194">
        <w:rPr>
          <w:rFonts w:ascii="Arial"/>
          <w:color w:val="000000"/>
          <w:sz w:val="18"/>
          <w:lang w:val="ru-RU"/>
        </w:rPr>
        <w:t>Оператор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право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1" w:name="58"/>
      <w:bookmarkEnd w:id="30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своєчасно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2" w:name="59"/>
      <w:bookmarkEnd w:id="31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своєчасно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відомості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зміну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контактних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осіб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контактних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даних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3" w:name="60"/>
      <w:bookmarkEnd w:id="32"/>
      <w:r w:rsidRPr="00E93194">
        <w:rPr>
          <w:rFonts w:ascii="Arial"/>
          <w:color w:val="000000"/>
          <w:sz w:val="18"/>
          <w:lang w:val="ru-RU"/>
        </w:rPr>
        <w:t xml:space="preserve">3) </w:t>
      </w:r>
      <w:r w:rsidRPr="00E93194">
        <w:rPr>
          <w:rFonts w:ascii="Arial"/>
          <w:color w:val="000000"/>
          <w:sz w:val="18"/>
          <w:lang w:val="ru-RU"/>
        </w:rPr>
        <w:t>своєчасно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щодо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результатів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погодження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спецспоживачами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початок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профілактичних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ремонтно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налагоджувальних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робіт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потреби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невідкладних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робіт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отриманні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можливість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ремонтно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налагоджувальних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робіт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узгоджувати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4" w:name="61"/>
      <w:bookmarkEnd w:id="33"/>
      <w:r w:rsidRPr="00E93194">
        <w:rPr>
          <w:rFonts w:ascii="Arial"/>
          <w:color w:val="000000"/>
          <w:sz w:val="18"/>
          <w:lang w:val="ru-RU"/>
        </w:rPr>
        <w:t xml:space="preserve">4) </w:t>
      </w:r>
      <w:r w:rsidRPr="00E93194">
        <w:rPr>
          <w:rFonts w:ascii="Arial"/>
          <w:color w:val="000000"/>
          <w:sz w:val="18"/>
          <w:lang w:val="ru-RU"/>
        </w:rPr>
        <w:t>звертатися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допомогою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проблем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виникають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5" w:name="62"/>
      <w:bookmarkEnd w:id="34"/>
      <w:r w:rsidRPr="00E93194">
        <w:rPr>
          <w:rFonts w:ascii="Arial"/>
          <w:color w:val="000000"/>
          <w:sz w:val="18"/>
          <w:lang w:val="ru-RU"/>
        </w:rPr>
        <w:t xml:space="preserve">4. </w:t>
      </w:r>
      <w:r w:rsidRPr="00E93194">
        <w:rPr>
          <w:rFonts w:ascii="Arial"/>
          <w:color w:val="000000"/>
          <w:sz w:val="18"/>
          <w:lang w:val="ru-RU"/>
        </w:rPr>
        <w:t>Оператор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язаний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6" w:name="63"/>
      <w:bookmarkEnd w:id="35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здійснювати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через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центри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37" w:name="64"/>
      <w:bookmarkEnd w:id="36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організацію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підтримку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функціонування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інформаційно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аналітичної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системи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точки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технічних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засобів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Схемою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основним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резервним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пунктами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наведеною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додатку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погодженою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Сторонами</w:t>
      </w:r>
      <w:r w:rsidRPr="00534665">
        <w:rPr>
          <w:rFonts w:ascii="Arial"/>
          <w:color w:val="000000"/>
          <w:sz w:val="18"/>
          <w:lang w:val="ru-RU"/>
        </w:rPr>
        <w:t>;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38" w:name="65"/>
      <w:bookmarkEnd w:id="37"/>
      <w:r w:rsidRPr="00534665">
        <w:rPr>
          <w:rFonts w:ascii="Arial"/>
          <w:color w:val="000000"/>
          <w:sz w:val="18"/>
          <w:lang w:val="ru-RU"/>
        </w:rPr>
        <w:t xml:space="preserve">3) </w:t>
      </w:r>
      <w:r w:rsidRPr="00534665">
        <w:rPr>
          <w:rFonts w:ascii="Arial"/>
          <w:color w:val="000000"/>
          <w:sz w:val="18"/>
          <w:lang w:val="ru-RU"/>
        </w:rPr>
        <w:t>повідомляти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НЦУ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про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події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електронній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комунікаційній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мережі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умовах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надзвичайного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воєнного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стану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що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супроводжуються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перериванням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надання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послуг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спецспоживачам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послуг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про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зміну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технічного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стану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lastRenderedPageBreak/>
        <w:t>електронних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комунікаційних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мереж</w:t>
      </w:r>
      <w:r w:rsidRPr="00534665">
        <w:rPr>
          <w:rFonts w:ascii="Arial"/>
          <w:color w:val="000000"/>
          <w:sz w:val="18"/>
          <w:lang w:val="ru-RU"/>
        </w:rPr>
        <w:t xml:space="preserve"> (</w:t>
      </w:r>
      <w:r w:rsidRPr="00534665">
        <w:rPr>
          <w:rFonts w:ascii="Arial"/>
          <w:color w:val="000000"/>
          <w:sz w:val="18"/>
          <w:lang w:val="ru-RU"/>
        </w:rPr>
        <w:t>технічних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засобів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електронних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комунікацій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споруд</w:t>
      </w:r>
      <w:r w:rsidRPr="00534665">
        <w:rPr>
          <w:rFonts w:ascii="Arial"/>
          <w:color w:val="000000"/>
          <w:sz w:val="18"/>
          <w:lang w:val="ru-RU"/>
        </w:rPr>
        <w:t xml:space="preserve">) </w:t>
      </w:r>
      <w:r w:rsidRPr="00534665">
        <w:rPr>
          <w:rFonts w:ascii="Arial"/>
          <w:color w:val="000000"/>
          <w:sz w:val="18"/>
          <w:lang w:val="ru-RU"/>
        </w:rPr>
        <w:t>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обсязі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порядку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що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встановлює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Кабінет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Міністрів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України</w:t>
      </w:r>
      <w:r w:rsidRPr="00534665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39" w:name="66"/>
      <w:bookmarkEnd w:id="38"/>
      <w:r w:rsidRPr="00E93194">
        <w:rPr>
          <w:rFonts w:ascii="Arial"/>
          <w:color w:val="000000"/>
          <w:sz w:val="18"/>
          <w:lang w:val="ru-RU"/>
        </w:rPr>
        <w:t xml:space="preserve">4) </w:t>
      </w:r>
      <w:r w:rsidRPr="00E93194">
        <w:rPr>
          <w:rFonts w:ascii="Arial"/>
          <w:color w:val="000000"/>
          <w:sz w:val="18"/>
          <w:lang w:val="ru-RU"/>
        </w:rPr>
        <w:t>брати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участь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тренуваннях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навчаннях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регіональному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загальнодержавному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рівнях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метою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готовності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завдань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Під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проведення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використовувати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незадіяні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ресурси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0" w:name="67"/>
      <w:bookmarkEnd w:id="39"/>
      <w:r w:rsidRPr="00E93194">
        <w:rPr>
          <w:rFonts w:ascii="Arial"/>
          <w:color w:val="000000"/>
          <w:sz w:val="18"/>
          <w:lang w:val="ru-RU"/>
        </w:rPr>
        <w:t xml:space="preserve">5)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надзвичайного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воєнного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щодо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язковими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оператором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повідомляти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розпоряджень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прийняті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1" w:name="68"/>
      <w:bookmarkEnd w:id="40"/>
      <w:r w:rsidRPr="00E93194">
        <w:rPr>
          <w:rFonts w:ascii="Arial"/>
          <w:color w:val="000000"/>
          <w:sz w:val="18"/>
          <w:lang w:val="ru-RU"/>
        </w:rPr>
        <w:t xml:space="preserve">6)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захист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безпеку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функціонування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власного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встановленому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2" w:name="69"/>
      <w:bookmarkEnd w:id="41"/>
      <w:r w:rsidRPr="00E93194">
        <w:rPr>
          <w:rFonts w:ascii="Arial"/>
          <w:color w:val="000000"/>
          <w:sz w:val="18"/>
          <w:lang w:val="ru-RU"/>
        </w:rPr>
        <w:t xml:space="preserve">7) </w:t>
      </w:r>
      <w:r w:rsidRPr="00E93194">
        <w:rPr>
          <w:rFonts w:ascii="Arial"/>
          <w:color w:val="000000"/>
          <w:sz w:val="18"/>
          <w:lang w:val="ru-RU"/>
        </w:rPr>
        <w:t>забезпечувати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посадових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осіб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кваліфікованими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сертифікатами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відкритого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ключа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автентифікації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інформаційно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аналітичній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системі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встановленому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потреби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розмістити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території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майно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призначене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автоматизації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процесів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окремим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відповідального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зберігання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правом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користування</w:t>
      </w:r>
      <w:r w:rsidRPr="00E93194">
        <w:rPr>
          <w:rFonts w:ascii="Arial"/>
          <w:color w:val="000000"/>
          <w:sz w:val="18"/>
          <w:lang w:val="ru-RU"/>
        </w:rPr>
        <w:t>).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43" w:name="70"/>
      <w:bookmarkEnd w:id="42"/>
      <w:r>
        <w:rPr>
          <w:rFonts w:ascii="Arial"/>
          <w:color w:val="000000"/>
          <w:sz w:val="27"/>
        </w:rPr>
        <w:t>IV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Ціна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Договору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4" w:name="71"/>
      <w:bookmarkEnd w:id="43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безоплатним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5" w:name="72"/>
      <w:bookmarkEnd w:id="44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Кожна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Сторін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самостійно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несе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витрати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організацію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підтримку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функціонування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своїх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точки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технічних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засобів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ними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6" w:name="73"/>
      <w:bookmarkEnd w:id="45"/>
      <w:r w:rsidRPr="00E93194">
        <w:rPr>
          <w:rFonts w:ascii="Arial"/>
          <w:color w:val="000000"/>
          <w:sz w:val="18"/>
          <w:lang w:val="ru-RU"/>
        </w:rPr>
        <w:t xml:space="preserve">3. </w:t>
      </w:r>
      <w:r w:rsidRPr="00E93194">
        <w:rPr>
          <w:rFonts w:ascii="Arial"/>
          <w:color w:val="000000"/>
          <w:sz w:val="18"/>
          <w:lang w:val="ru-RU"/>
        </w:rPr>
        <w:t>Ресурси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період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тренування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виділяє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безоплатно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47" w:name="74"/>
      <w:bookmarkEnd w:id="46"/>
      <w:r>
        <w:rPr>
          <w:rFonts w:ascii="Arial"/>
          <w:color w:val="000000"/>
          <w:sz w:val="27"/>
        </w:rPr>
        <w:t>V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Конфіденційність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8" w:name="75"/>
      <w:bookmarkEnd w:id="47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Під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будуть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обмінюватися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інформацією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обмеженим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доступом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володіють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49" w:name="76"/>
      <w:bookmarkEnd w:id="48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домовилися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конфіденційність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всієї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зазначена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додатку</w:t>
      </w:r>
      <w:r w:rsidRPr="00E93194">
        <w:rPr>
          <w:rFonts w:ascii="Arial"/>
          <w:color w:val="000000"/>
          <w:sz w:val="18"/>
          <w:lang w:val="ru-RU"/>
        </w:rPr>
        <w:t>(</w:t>
      </w:r>
      <w:r w:rsidRPr="00E93194">
        <w:rPr>
          <w:rFonts w:ascii="Arial"/>
          <w:color w:val="000000"/>
          <w:sz w:val="18"/>
          <w:lang w:val="ru-RU"/>
        </w:rPr>
        <w:t>ах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межах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експлуатує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стан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обсязі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встановлює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Кабінет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Міністрів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визначена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як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конфіденційна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далі</w:t>
      </w:r>
      <w:r w:rsidRPr="00E93194">
        <w:rPr>
          <w:rFonts w:ascii="Arial"/>
          <w:color w:val="000000"/>
          <w:sz w:val="18"/>
          <w:lang w:val="ru-RU"/>
        </w:rPr>
        <w:t xml:space="preserve"> - </w:t>
      </w:r>
      <w:r w:rsidRPr="00E93194">
        <w:rPr>
          <w:rFonts w:ascii="Arial"/>
          <w:color w:val="000000"/>
          <w:sz w:val="18"/>
          <w:lang w:val="ru-RU"/>
        </w:rPr>
        <w:t>Конфіденційна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інформація</w:t>
      </w:r>
      <w:r w:rsidRPr="00E93194">
        <w:rPr>
          <w:rFonts w:ascii="Arial"/>
          <w:color w:val="000000"/>
          <w:sz w:val="18"/>
          <w:lang w:val="ru-RU"/>
        </w:rPr>
        <w:t>).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0" w:name="77"/>
      <w:bookmarkEnd w:id="49"/>
      <w:r w:rsidRPr="00E93194">
        <w:rPr>
          <w:rFonts w:ascii="Arial"/>
          <w:color w:val="000000"/>
          <w:sz w:val="18"/>
          <w:lang w:val="ru-RU"/>
        </w:rPr>
        <w:t xml:space="preserve">3.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може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віднесена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визначена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частиною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четвертою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статті</w:t>
      </w:r>
      <w:r w:rsidRPr="00E93194">
        <w:rPr>
          <w:rFonts w:ascii="Arial"/>
          <w:color w:val="000000"/>
          <w:sz w:val="18"/>
          <w:lang w:val="ru-RU"/>
        </w:rPr>
        <w:t xml:space="preserve"> 21 </w:t>
      </w:r>
      <w:r w:rsidRPr="00E93194">
        <w:rPr>
          <w:rFonts w:ascii="Arial"/>
          <w:color w:val="000000"/>
          <w:sz w:val="18"/>
          <w:lang w:val="ru-RU"/>
        </w:rPr>
        <w:t>Закону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>".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1" w:name="78"/>
      <w:bookmarkEnd w:id="50"/>
      <w:r w:rsidRPr="00E93194">
        <w:rPr>
          <w:rFonts w:ascii="Arial"/>
          <w:color w:val="000000"/>
          <w:sz w:val="18"/>
          <w:lang w:val="ru-RU"/>
        </w:rPr>
        <w:t xml:space="preserve">4. </w:t>
      </w:r>
      <w:r w:rsidRPr="00E93194">
        <w:rPr>
          <w:rFonts w:ascii="Arial"/>
          <w:color w:val="000000"/>
          <w:sz w:val="18"/>
          <w:lang w:val="ru-RU"/>
        </w:rPr>
        <w:t>Передання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зазначеної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розділі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третім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особам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опублікування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інше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розголошення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такої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будь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яке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використання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можуть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здійснені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виключно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письмовою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згодою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погодилися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без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письмової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згоди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доступ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2" w:name="79"/>
      <w:bookmarkEnd w:id="51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аудиторам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суб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єктам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аудиторської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діяльності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залучаються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договірній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основі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аудит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фінансової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звітності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аудиторську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діяльність</w:t>
      </w:r>
      <w:r w:rsidRPr="00E93194">
        <w:rPr>
          <w:rFonts w:ascii="Arial"/>
          <w:color w:val="000000"/>
          <w:sz w:val="18"/>
          <w:lang w:val="ru-RU"/>
        </w:rPr>
        <w:t>";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3" w:name="80"/>
      <w:bookmarkEnd w:id="52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третім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особам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зазначеним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пункті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лише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суду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набрало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випадках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коли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надання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доступу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язковим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згідно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законом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4" w:name="81"/>
      <w:bookmarkEnd w:id="53"/>
      <w:r w:rsidRPr="00E93194">
        <w:rPr>
          <w:rFonts w:ascii="Arial"/>
          <w:color w:val="000000"/>
          <w:sz w:val="18"/>
          <w:lang w:val="ru-RU"/>
        </w:rPr>
        <w:t xml:space="preserve">5.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язуються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розголошувати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протягом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протягом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трьох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років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після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незалежно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причин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такого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5" w:name="82"/>
      <w:bookmarkEnd w:id="54"/>
      <w:r w:rsidRPr="00E93194">
        <w:rPr>
          <w:rFonts w:ascii="Arial"/>
          <w:color w:val="000000"/>
          <w:sz w:val="18"/>
          <w:lang w:val="ru-RU"/>
        </w:rPr>
        <w:t xml:space="preserve">6. </w:t>
      </w:r>
      <w:r w:rsidRPr="00E93194">
        <w:rPr>
          <w:rFonts w:ascii="Arial"/>
          <w:color w:val="000000"/>
          <w:sz w:val="18"/>
          <w:lang w:val="ru-RU"/>
        </w:rPr>
        <w:t>Невиконання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передбачених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розділом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щодо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збереження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Конфіденційної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інформації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підставою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відшкодування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збитків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завданих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постраждалій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6" w:name="83"/>
      <w:bookmarkEnd w:id="55"/>
      <w:r w:rsidRPr="00E93194">
        <w:rPr>
          <w:rFonts w:ascii="Arial"/>
          <w:color w:val="000000"/>
          <w:sz w:val="18"/>
          <w:lang w:val="ru-RU"/>
        </w:rPr>
        <w:t xml:space="preserve">7. </w:t>
      </w:r>
      <w:r w:rsidRPr="00E93194">
        <w:rPr>
          <w:rFonts w:ascii="Arial"/>
          <w:color w:val="000000"/>
          <w:sz w:val="18"/>
          <w:lang w:val="ru-RU"/>
        </w:rPr>
        <w:t>Персональні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Сторін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укладають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захищаються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оброблюються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 xml:space="preserve"> "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захист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персональних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даних</w:t>
      </w:r>
      <w:r w:rsidRPr="00E93194">
        <w:rPr>
          <w:rFonts w:ascii="Arial"/>
          <w:color w:val="000000"/>
          <w:sz w:val="18"/>
          <w:lang w:val="ru-RU"/>
        </w:rPr>
        <w:t>".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57" w:name="84"/>
      <w:bookmarkEnd w:id="56"/>
      <w:r>
        <w:rPr>
          <w:rFonts w:ascii="Arial"/>
          <w:color w:val="000000"/>
          <w:sz w:val="27"/>
        </w:rPr>
        <w:t>VI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Відповідальність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8" w:name="85"/>
      <w:bookmarkEnd w:id="57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несуть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відповідальність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неналежне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положень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59" w:name="86"/>
      <w:bookmarkEnd w:id="58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Сторона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порушила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звільняється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відповідальності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вона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доведе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порушення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сталося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внаслідок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випадку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60" w:name="87"/>
      <w:bookmarkEnd w:id="59"/>
      <w:r>
        <w:rPr>
          <w:rFonts w:ascii="Arial"/>
          <w:color w:val="000000"/>
          <w:sz w:val="27"/>
        </w:rPr>
        <w:lastRenderedPageBreak/>
        <w:t>VII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Строк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дії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Договору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1" w:name="88"/>
      <w:bookmarkEnd w:id="60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набирає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чинності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підписання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___ ___________ 20__ </w:t>
      </w:r>
      <w:r w:rsidRPr="00E93194">
        <w:rPr>
          <w:rFonts w:ascii="Arial"/>
          <w:color w:val="000000"/>
          <w:sz w:val="18"/>
          <w:lang w:val="ru-RU"/>
        </w:rPr>
        <w:t>року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2" w:name="89"/>
      <w:bookmarkEnd w:id="61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Умови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впродовж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усього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після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випадках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визначених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Договором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3" w:name="90"/>
      <w:bookmarkEnd w:id="62"/>
      <w:r w:rsidRPr="00E93194">
        <w:rPr>
          <w:rFonts w:ascii="Arial"/>
          <w:color w:val="000000"/>
          <w:sz w:val="18"/>
          <w:lang w:val="ru-RU"/>
        </w:rPr>
        <w:t xml:space="preserve">3.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відсутності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заяви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однієї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Сторін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зміни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два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місяці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закінчення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вважається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продовженим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той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самий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самих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умовах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були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передбачені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Договором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4" w:name="91"/>
      <w:bookmarkEnd w:id="63"/>
      <w:r w:rsidRPr="00E93194">
        <w:rPr>
          <w:rFonts w:ascii="Arial"/>
          <w:color w:val="000000"/>
          <w:sz w:val="18"/>
          <w:lang w:val="ru-RU"/>
        </w:rPr>
        <w:t xml:space="preserve">4. </w:t>
      </w:r>
      <w:r w:rsidRPr="00E93194">
        <w:rPr>
          <w:rFonts w:ascii="Arial"/>
          <w:color w:val="000000"/>
          <w:sz w:val="18"/>
          <w:lang w:val="ru-RU"/>
        </w:rPr>
        <w:t>Дію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може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припинено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повністю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частково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таких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випадках</w:t>
      </w:r>
      <w:r w:rsidRPr="00E93194">
        <w:rPr>
          <w:rFonts w:ascii="Arial"/>
          <w:color w:val="000000"/>
          <w:sz w:val="18"/>
          <w:lang w:val="ru-RU"/>
        </w:rPr>
        <w:t>: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5" w:name="92"/>
      <w:bookmarkEnd w:id="64"/>
      <w:r w:rsidRPr="00E93194">
        <w:rPr>
          <w:rFonts w:ascii="Arial"/>
          <w:color w:val="000000"/>
          <w:sz w:val="18"/>
          <w:lang w:val="ru-RU"/>
        </w:rPr>
        <w:t xml:space="preserve">1)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істотної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зміни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керувалися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укладенні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6" w:name="93"/>
      <w:bookmarkEnd w:id="65"/>
      <w:r w:rsidRPr="00E93194">
        <w:rPr>
          <w:rFonts w:ascii="Arial"/>
          <w:color w:val="000000"/>
          <w:sz w:val="18"/>
          <w:lang w:val="ru-RU"/>
        </w:rPr>
        <w:t xml:space="preserve">2)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рішенням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суду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набрало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7" w:name="94"/>
      <w:bookmarkEnd w:id="66"/>
      <w:r w:rsidRPr="00E93194">
        <w:rPr>
          <w:rFonts w:ascii="Arial"/>
          <w:color w:val="000000"/>
          <w:sz w:val="18"/>
          <w:lang w:val="ru-RU"/>
        </w:rPr>
        <w:t xml:space="preserve">3) </w:t>
      </w:r>
      <w:r w:rsidRPr="00E93194">
        <w:rPr>
          <w:rFonts w:ascii="Arial"/>
          <w:color w:val="000000"/>
          <w:sz w:val="18"/>
          <w:lang w:val="ru-RU"/>
        </w:rPr>
        <w:t>припинення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діяльності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однієї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Сторін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>;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8" w:name="95"/>
      <w:bookmarkEnd w:id="67"/>
      <w:r w:rsidRPr="00E93194">
        <w:rPr>
          <w:rFonts w:ascii="Arial"/>
          <w:color w:val="000000"/>
          <w:sz w:val="18"/>
          <w:lang w:val="ru-RU"/>
        </w:rPr>
        <w:t xml:space="preserve">4)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випадках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передбачених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чинним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69" w:name="96"/>
      <w:bookmarkEnd w:id="68"/>
      <w:r w:rsidRPr="00E93194">
        <w:rPr>
          <w:rFonts w:ascii="Arial"/>
          <w:color w:val="000000"/>
          <w:sz w:val="18"/>
          <w:lang w:val="ru-RU"/>
        </w:rPr>
        <w:t xml:space="preserve">5. </w:t>
      </w:r>
      <w:r w:rsidRPr="00E93194">
        <w:rPr>
          <w:rFonts w:ascii="Arial"/>
          <w:color w:val="000000"/>
          <w:sz w:val="18"/>
          <w:lang w:val="ru-RU"/>
        </w:rPr>
        <w:t>Закінчення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звільняє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відповідальності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порушення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мало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місце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534665" w:rsidRDefault="00534665" w:rsidP="00534665">
      <w:pPr>
        <w:pStyle w:val="3"/>
        <w:spacing w:after="0"/>
        <w:jc w:val="center"/>
        <w:rPr>
          <w:lang w:val="ru-RU"/>
        </w:rPr>
      </w:pPr>
      <w:bookmarkStart w:id="70" w:name="97"/>
      <w:bookmarkEnd w:id="69"/>
      <w:r>
        <w:rPr>
          <w:rFonts w:ascii="Arial"/>
          <w:color w:val="000000"/>
          <w:sz w:val="27"/>
        </w:rPr>
        <w:t>VIII</w:t>
      </w:r>
      <w:r w:rsidRPr="00534665">
        <w:rPr>
          <w:rFonts w:ascii="Arial"/>
          <w:color w:val="000000"/>
          <w:sz w:val="27"/>
          <w:lang w:val="ru-RU"/>
        </w:rPr>
        <w:t xml:space="preserve">. </w:t>
      </w:r>
      <w:r w:rsidRPr="00534665">
        <w:rPr>
          <w:rFonts w:ascii="Arial"/>
          <w:color w:val="000000"/>
          <w:sz w:val="27"/>
          <w:lang w:val="ru-RU"/>
        </w:rPr>
        <w:t>Порядок</w:t>
      </w:r>
      <w:r w:rsidRPr="00534665">
        <w:rPr>
          <w:rFonts w:ascii="Arial"/>
          <w:color w:val="000000"/>
          <w:sz w:val="27"/>
          <w:lang w:val="ru-RU"/>
        </w:rPr>
        <w:t xml:space="preserve"> </w:t>
      </w:r>
      <w:r w:rsidRPr="00534665">
        <w:rPr>
          <w:rFonts w:ascii="Arial"/>
          <w:color w:val="000000"/>
          <w:sz w:val="27"/>
          <w:lang w:val="ru-RU"/>
        </w:rPr>
        <w:t>вирішення</w:t>
      </w:r>
      <w:r w:rsidRPr="00534665">
        <w:rPr>
          <w:rFonts w:ascii="Arial"/>
          <w:color w:val="000000"/>
          <w:sz w:val="27"/>
          <w:lang w:val="ru-RU"/>
        </w:rPr>
        <w:t xml:space="preserve"> </w:t>
      </w:r>
      <w:r w:rsidRPr="00534665">
        <w:rPr>
          <w:rFonts w:ascii="Arial"/>
          <w:color w:val="000000"/>
          <w:sz w:val="27"/>
          <w:lang w:val="ru-RU"/>
        </w:rPr>
        <w:t>спорів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71" w:name="98"/>
      <w:bookmarkEnd w:id="70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Усі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спори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розбіжності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виникають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процесі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ним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вирішуються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шляхом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переговорів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72" w:name="99"/>
      <w:bookmarkEnd w:id="71"/>
      <w:r w:rsidRPr="00E93194">
        <w:rPr>
          <w:rFonts w:ascii="Arial"/>
          <w:color w:val="000000"/>
          <w:sz w:val="18"/>
          <w:lang w:val="ru-RU"/>
        </w:rPr>
        <w:t xml:space="preserve">2. </w:t>
      </w:r>
      <w:r w:rsidRPr="00E93194">
        <w:rPr>
          <w:rFonts w:ascii="Arial"/>
          <w:color w:val="000000"/>
          <w:sz w:val="18"/>
          <w:lang w:val="ru-RU"/>
        </w:rPr>
        <w:t>Спори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вирішені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шляхом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переговорів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Сторонами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підлягатимуть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вирішенню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судовому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порядку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визначеному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чинним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законодавством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73" w:name="100"/>
      <w:bookmarkEnd w:id="72"/>
      <w:r>
        <w:rPr>
          <w:rFonts w:ascii="Arial"/>
          <w:color w:val="000000"/>
          <w:sz w:val="27"/>
        </w:rPr>
        <w:t>IX</w:t>
      </w:r>
      <w:r w:rsidRPr="00E93194">
        <w:rPr>
          <w:rFonts w:ascii="Arial"/>
          <w:color w:val="000000"/>
          <w:sz w:val="27"/>
          <w:lang w:val="ru-RU"/>
        </w:rPr>
        <w:t xml:space="preserve">. </w:t>
      </w:r>
      <w:r w:rsidRPr="00E93194">
        <w:rPr>
          <w:rFonts w:ascii="Arial"/>
          <w:color w:val="000000"/>
          <w:sz w:val="27"/>
          <w:lang w:val="ru-RU"/>
        </w:rPr>
        <w:t>Інші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умови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Договору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74" w:name="101"/>
      <w:bookmarkEnd w:id="73"/>
      <w:r w:rsidRPr="00E93194">
        <w:rPr>
          <w:rFonts w:ascii="Arial"/>
          <w:color w:val="000000"/>
          <w:sz w:val="18"/>
          <w:lang w:val="ru-RU"/>
        </w:rPr>
        <w:t xml:space="preserve">1. </w:t>
      </w:r>
      <w:r w:rsidRPr="00E93194">
        <w:rPr>
          <w:rFonts w:ascii="Arial"/>
          <w:color w:val="000000"/>
          <w:sz w:val="18"/>
          <w:lang w:val="ru-RU"/>
        </w:rPr>
        <w:t>Зміни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розірвання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допускаються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згоди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Сторін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Зміни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доповнення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вносяться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тільки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шляхом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укладення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додаткових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договорів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які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невід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ємними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частинами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підписуються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Сторонами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Зміни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що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пропонуються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внесення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розглядаються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протягом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одного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місяця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дати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подання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розгляду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Стороною</w:t>
      </w:r>
      <w:r w:rsidRPr="00534665">
        <w:rPr>
          <w:rFonts w:ascii="Arial"/>
          <w:color w:val="000000"/>
          <w:sz w:val="18"/>
          <w:lang w:val="ru-RU"/>
        </w:rPr>
        <w:t>.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75" w:name="102"/>
      <w:bookmarkEnd w:id="74"/>
      <w:r w:rsidRPr="00534665">
        <w:rPr>
          <w:rFonts w:ascii="Arial"/>
          <w:color w:val="000000"/>
          <w:sz w:val="18"/>
          <w:lang w:val="ru-RU"/>
        </w:rPr>
        <w:t xml:space="preserve">2. </w:t>
      </w:r>
      <w:r w:rsidRPr="00534665">
        <w:rPr>
          <w:rFonts w:ascii="Arial"/>
          <w:color w:val="000000"/>
          <w:sz w:val="18"/>
          <w:lang w:val="ru-RU"/>
        </w:rPr>
        <w:t>Листування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пов</w:t>
      </w:r>
      <w:r w:rsidRPr="00534665">
        <w:rPr>
          <w:rFonts w:ascii="Arial"/>
          <w:color w:val="000000"/>
          <w:sz w:val="18"/>
          <w:lang w:val="ru-RU"/>
        </w:rPr>
        <w:t>'</w:t>
      </w:r>
      <w:r w:rsidRPr="00534665">
        <w:rPr>
          <w:rFonts w:ascii="Arial"/>
          <w:color w:val="000000"/>
          <w:sz w:val="18"/>
          <w:lang w:val="ru-RU"/>
        </w:rPr>
        <w:t>язане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зміною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або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розірванням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цього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Договору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здійснюється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шляхом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обміну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Сторонами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рекомендованими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листами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підписом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уповноважених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осіб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Сторін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або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відповідно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Закону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України</w:t>
      </w:r>
      <w:r w:rsidRPr="00534665">
        <w:rPr>
          <w:rFonts w:ascii="Arial"/>
          <w:color w:val="000000"/>
          <w:sz w:val="18"/>
          <w:lang w:val="ru-RU"/>
        </w:rPr>
        <w:t xml:space="preserve"> "</w:t>
      </w:r>
      <w:r w:rsidRPr="00534665">
        <w:rPr>
          <w:rFonts w:ascii="Arial"/>
          <w:color w:val="000000"/>
          <w:sz w:val="18"/>
          <w:lang w:val="ru-RU"/>
        </w:rPr>
        <w:t>Про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електронні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довірчі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послуги</w:t>
      </w:r>
      <w:r w:rsidRPr="00534665">
        <w:rPr>
          <w:rFonts w:ascii="Arial"/>
          <w:color w:val="000000"/>
          <w:sz w:val="18"/>
          <w:lang w:val="ru-RU"/>
        </w:rPr>
        <w:t>".</w:t>
      </w:r>
    </w:p>
    <w:p w:rsidR="00534665" w:rsidRPr="00534665" w:rsidRDefault="00534665" w:rsidP="00534665">
      <w:pPr>
        <w:spacing w:after="0"/>
        <w:ind w:firstLine="240"/>
        <w:rPr>
          <w:lang w:val="ru-RU"/>
        </w:rPr>
      </w:pPr>
      <w:bookmarkStart w:id="76" w:name="103"/>
      <w:bookmarkEnd w:id="75"/>
      <w:r w:rsidRPr="00534665">
        <w:rPr>
          <w:rFonts w:ascii="Arial"/>
          <w:color w:val="000000"/>
          <w:sz w:val="18"/>
          <w:lang w:val="ru-RU"/>
        </w:rPr>
        <w:t xml:space="preserve">3. </w:t>
      </w:r>
      <w:r w:rsidRPr="00534665">
        <w:rPr>
          <w:rFonts w:ascii="Arial"/>
          <w:color w:val="000000"/>
          <w:sz w:val="18"/>
          <w:lang w:val="ru-RU"/>
        </w:rPr>
        <w:t>Сторони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зобов</w:t>
      </w:r>
      <w:r w:rsidRPr="00534665">
        <w:rPr>
          <w:rFonts w:ascii="Arial"/>
          <w:color w:val="000000"/>
          <w:sz w:val="18"/>
          <w:lang w:val="ru-RU"/>
        </w:rPr>
        <w:t>'</w:t>
      </w:r>
      <w:r w:rsidRPr="00534665">
        <w:rPr>
          <w:rFonts w:ascii="Arial"/>
          <w:color w:val="000000"/>
          <w:sz w:val="18"/>
          <w:lang w:val="ru-RU"/>
        </w:rPr>
        <w:t>язуються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письмово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повідомляти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про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зміну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реквізитів</w:t>
      </w:r>
      <w:r w:rsidRPr="00534665">
        <w:rPr>
          <w:rFonts w:ascii="Arial"/>
          <w:color w:val="000000"/>
          <w:sz w:val="18"/>
          <w:lang w:val="ru-RU"/>
        </w:rPr>
        <w:t xml:space="preserve"> (</w:t>
      </w:r>
      <w:r w:rsidRPr="00534665">
        <w:rPr>
          <w:rFonts w:ascii="Arial"/>
          <w:color w:val="000000"/>
          <w:sz w:val="18"/>
          <w:lang w:val="ru-RU"/>
        </w:rPr>
        <w:t>місцезнаходження</w:t>
      </w:r>
      <w:r w:rsidRPr="00534665">
        <w:rPr>
          <w:rFonts w:ascii="Arial"/>
          <w:color w:val="000000"/>
          <w:sz w:val="18"/>
          <w:lang w:val="ru-RU"/>
        </w:rPr>
        <w:t>/</w:t>
      </w:r>
      <w:r w:rsidRPr="00534665">
        <w:rPr>
          <w:rFonts w:ascii="Arial"/>
          <w:color w:val="000000"/>
          <w:sz w:val="18"/>
          <w:lang w:val="ru-RU"/>
        </w:rPr>
        <w:t>місце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проживання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найменування</w:t>
      </w:r>
      <w:r w:rsidRPr="00534665">
        <w:rPr>
          <w:rFonts w:ascii="Arial"/>
          <w:color w:val="000000"/>
          <w:sz w:val="18"/>
          <w:lang w:val="ru-RU"/>
        </w:rPr>
        <w:t>/</w:t>
      </w:r>
      <w:r w:rsidRPr="00534665">
        <w:rPr>
          <w:rFonts w:ascii="Arial"/>
          <w:color w:val="000000"/>
          <w:sz w:val="18"/>
          <w:lang w:val="ru-RU"/>
        </w:rPr>
        <w:t>прізвище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власне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ім</w:t>
      </w:r>
      <w:r w:rsidRPr="00534665">
        <w:rPr>
          <w:rFonts w:ascii="Arial"/>
          <w:color w:val="000000"/>
          <w:sz w:val="18"/>
          <w:lang w:val="ru-RU"/>
        </w:rPr>
        <w:t>'</w:t>
      </w:r>
      <w:r w:rsidRPr="00534665">
        <w:rPr>
          <w:rFonts w:ascii="Arial"/>
          <w:color w:val="000000"/>
          <w:sz w:val="18"/>
          <w:lang w:val="ru-RU"/>
        </w:rPr>
        <w:t>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батькові</w:t>
      </w:r>
      <w:r w:rsidRPr="00534665">
        <w:rPr>
          <w:rFonts w:ascii="Arial"/>
          <w:color w:val="000000"/>
          <w:sz w:val="18"/>
          <w:lang w:val="ru-RU"/>
        </w:rPr>
        <w:t xml:space="preserve"> (</w:t>
      </w:r>
      <w:r w:rsidRPr="00534665">
        <w:rPr>
          <w:rFonts w:ascii="Arial"/>
          <w:color w:val="000000"/>
          <w:sz w:val="18"/>
          <w:lang w:val="ru-RU"/>
        </w:rPr>
        <w:t>за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наявності</w:t>
      </w:r>
      <w:r w:rsidRPr="00534665">
        <w:rPr>
          <w:rFonts w:ascii="Arial"/>
          <w:color w:val="000000"/>
          <w:sz w:val="18"/>
          <w:lang w:val="ru-RU"/>
        </w:rPr>
        <w:t xml:space="preserve">), </w:t>
      </w:r>
      <w:r w:rsidRPr="00534665">
        <w:rPr>
          <w:rFonts w:ascii="Arial"/>
          <w:color w:val="000000"/>
          <w:sz w:val="18"/>
          <w:lang w:val="ru-RU"/>
        </w:rPr>
        <w:t>організаційно</w:t>
      </w:r>
      <w:r w:rsidRPr="00534665">
        <w:rPr>
          <w:rFonts w:ascii="Arial"/>
          <w:color w:val="000000"/>
          <w:sz w:val="18"/>
          <w:lang w:val="ru-RU"/>
        </w:rPr>
        <w:t>-</w:t>
      </w:r>
      <w:r w:rsidRPr="00534665">
        <w:rPr>
          <w:rFonts w:ascii="Arial"/>
          <w:color w:val="000000"/>
          <w:sz w:val="18"/>
          <w:lang w:val="ru-RU"/>
        </w:rPr>
        <w:t>правова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форма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банківські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реквізити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тощо</w:t>
      </w:r>
      <w:r w:rsidRPr="00534665">
        <w:rPr>
          <w:rFonts w:ascii="Arial"/>
          <w:color w:val="000000"/>
          <w:sz w:val="18"/>
          <w:lang w:val="ru-RU"/>
        </w:rPr>
        <w:t xml:space="preserve">) </w:t>
      </w:r>
      <w:r w:rsidRPr="00534665">
        <w:rPr>
          <w:rFonts w:ascii="Arial"/>
          <w:color w:val="000000"/>
          <w:sz w:val="18"/>
          <w:lang w:val="ru-RU"/>
        </w:rPr>
        <w:t>не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пізніше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ніж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через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десять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календарних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днів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після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настання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таких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змін</w:t>
      </w:r>
      <w:r w:rsidRPr="00534665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Таке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повідомлення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підписане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уповноваженою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особою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стає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частиною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лише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умови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його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отримання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іншою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Стороною</w:t>
      </w:r>
      <w:r w:rsidRPr="00534665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77" w:name="105"/>
      <w:bookmarkEnd w:id="76"/>
      <w:r w:rsidRPr="00E93194">
        <w:rPr>
          <w:rFonts w:ascii="Arial"/>
          <w:color w:val="000000"/>
          <w:sz w:val="18"/>
          <w:lang w:val="ru-RU"/>
        </w:rPr>
        <w:t xml:space="preserve">4.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виникнення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форс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мажорних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строк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продовжується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наслідків</w:t>
      </w:r>
      <w:r w:rsidRPr="00E93194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Форс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мажорні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обставини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обставини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мають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бути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засвідчені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Торгово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промисловою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палатою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України</w:t>
      </w:r>
      <w:r w:rsidRPr="00534665">
        <w:rPr>
          <w:rFonts w:ascii="Arial"/>
          <w:color w:val="000000"/>
          <w:sz w:val="18"/>
          <w:lang w:val="ru-RU"/>
        </w:rPr>
        <w:t xml:space="preserve">, </w:t>
      </w:r>
      <w:r w:rsidRPr="00534665">
        <w:rPr>
          <w:rFonts w:ascii="Arial"/>
          <w:color w:val="000000"/>
          <w:sz w:val="18"/>
          <w:lang w:val="ru-RU"/>
        </w:rPr>
        <w:t>що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підтверджується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сертифікатом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про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такі</w:t>
      </w:r>
      <w:r w:rsidRPr="00534665">
        <w:rPr>
          <w:rFonts w:ascii="Arial"/>
          <w:color w:val="000000"/>
          <w:sz w:val="18"/>
          <w:lang w:val="ru-RU"/>
        </w:rPr>
        <w:t xml:space="preserve"> </w:t>
      </w:r>
      <w:r w:rsidRPr="00534665">
        <w:rPr>
          <w:rFonts w:ascii="Arial"/>
          <w:color w:val="000000"/>
          <w:sz w:val="18"/>
          <w:lang w:val="ru-RU"/>
        </w:rPr>
        <w:t>обставини</w:t>
      </w:r>
      <w:r w:rsidRPr="00534665">
        <w:rPr>
          <w:rFonts w:ascii="Arial"/>
          <w:color w:val="000000"/>
          <w:sz w:val="18"/>
          <w:lang w:val="ru-RU"/>
        </w:rPr>
        <w:t xml:space="preserve">.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разі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виникнення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строк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виконання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зобов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язань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продовжується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дії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обставин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непереборної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їх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наслідків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78" w:name="106"/>
      <w:bookmarkEnd w:id="77"/>
      <w:r w:rsidRPr="00E93194">
        <w:rPr>
          <w:rFonts w:ascii="Arial"/>
          <w:color w:val="000000"/>
          <w:sz w:val="18"/>
          <w:lang w:val="ru-RU"/>
        </w:rPr>
        <w:t xml:space="preserve">5. </w:t>
      </w:r>
      <w:r w:rsidRPr="00E93194">
        <w:rPr>
          <w:rFonts w:ascii="Arial"/>
          <w:color w:val="000000"/>
          <w:sz w:val="18"/>
          <w:lang w:val="ru-RU"/>
        </w:rPr>
        <w:t>Цей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Договір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укладено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двох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примірниках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кожен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яких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має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однакову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юридичну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силу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один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зберігається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, </w:t>
      </w:r>
      <w:r w:rsidRPr="00E93194">
        <w:rPr>
          <w:rFonts w:ascii="Arial"/>
          <w:color w:val="000000"/>
          <w:sz w:val="18"/>
          <w:lang w:val="ru-RU"/>
        </w:rPr>
        <w:t>другий</w:t>
      </w:r>
      <w:r w:rsidRPr="00E93194">
        <w:rPr>
          <w:rFonts w:ascii="Arial"/>
          <w:color w:val="000000"/>
          <w:sz w:val="18"/>
          <w:lang w:val="ru-RU"/>
        </w:rPr>
        <w:t xml:space="preserve"> - </w:t>
      </w:r>
      <w:r w:rsidRPr="00E93194">
        <w:rPr>
          <w:rFonts w:ascii="Arial"/>
          <w:color w:val="000000"/>
          <w:sz w:val="18"/>
          <w:lang w:val="ru-RU"/>
        </w:rPr>
        <w:t>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>.</w:t>
      </w:r>
    </w:p>
    <w:p w:rsidR="00534665" w:rsidRPr="00E93194" w:rsidRDefault="00534665" w:rsidP="00534665">
      <w:pPr>
        <w:spacing w:after="0"/>
        <w:ind w:firstLine="240"/>
        <w:rPr>
          <w:lang w:val="ru-RU"/>
        </w:rPr>
      </w:pPr>
      <w:bookmarkStart w:id="79" w:name="107"/>
      <w:bookmarkEnd w:id="78"/>
      <w:r w:rsidRPr="00E93194">
        <w:rPr>
          <w:rFonts w:ascii="Arial"/>
          <w:color w:val="000000"/>
          <w:sz w:val="18"/>
          <w:lang w:val="ru-RU"/>
        </w:rPr>
        <w:t xml:space="preserve">6. </w:t>
      </w:r>
      <w:r w:rsidRPr="00E93194">
        <w:rPr>
          <w:rFonts w:ascii="Arial"/>
          <w:color w:val="000000"/>
          <w:sz w:val="18"/>
          <w:lang w:val="ru-RU"/>
        </w:rPr>
        <w:t>Невід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ємною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частиною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цього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є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додаток</w:t>
      </w:r>
      <w:r w:rsidRPr="00E93194">
        <w:rPr>
          <w:rFonts w:ascii="Arial"/>
          <w:color w:val="000000"/>
          <w:sz w:val="18"/>
          <w:lang w:val="ru-RU"/>
        </w:rPr>
        <w:t xml:space="preserve">: </w:t>
      </w:r>
      <w:r w:rsidRPr="00E93194">
        <w:rPr>
          <w:rFonts w:ascii="Arial"/>
          <w:color w:val="000000"/>
          <w:sz w:val="18"/>
          <w:lang w:val="ru-RU"/>
        </w:rPr>
        <w:t>Схема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>'</w:t>
      </w:r>
      <w:r w:rsidRPr="00E93194">
        <w:rPr>
          <w:rFonts w:ascii="Arial"/>
          <w:color w:val="000000"/>
          <w:sz w:val="18"/>
          <w:lang w:val="ru-RU"/>
        </w:rPr>
        <w:t>єднання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центру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центрів</w:t>
      </w:r>
      <w:r w:rsidRPr="00E93194">
        <w:rPr>
          <w:rFonts w:ascii="Arial"/>
          <w:color w:val="000000"/>
          <w:sz w:val="18"/>
          <w:lang w:val="ru-RU"/>
        </w:rPr>
        <w:t xml:space="preserve">)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мережею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оператора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основним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і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резервним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пунктами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НЦУ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для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забезпечення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(</w:t>
      </w:r>
      <w:r w:rsidRPr="00E93194">
        <w:rPr>
          <w:rFonts w:ascii="Arial"/>
          <w:color w:val="000000"/>
          <w:sz w:val="18"/>
          <w:lang w:val="ru-RU"/>
        </w:rPr>
        <w:t>на</w:t>
      </w:r>
      <w:r w:rsidRPr="00E93194">
        <w:rPr>
          <w:rFonts w:ascii="Arial"/>
          <w:color w:val="000000"/>
          <w:sz w:val="18"/>
          <w:lang w:val="ru-RU"/>
        </w:rPr>
        <w:t xml:space="preserve"> __ </w:t>
      </w:r>
      <w:r w:rsidRPr="00E93194">
        <w:rPr>
          <w:rFonts w:ascii="Arial"/>
          <w:color w:val="000000"/>
          <w:sz w:val="18"/>
          <w:lang w:val="ru-RU"/>
        </w:rPr>
        <w:t>арк</w:t>
      </w:r>
      <w:r w:rsidRPr="00E93194">
        <w:rPr>
          <w:rFonts w:ascii="Arial"/>
          <w:color w:val="000000"/>
          <w:sz w:val="18"/>
          <w:lang w:val="ru-RU"/>
        </w:rPr>
        <w:t>.).</w:t>
      </w:r>
    </w:p>
    <w:p w:rsidR="00534665" w:rsidRDefault="00534665" w:rsidP="00534665">
      <w:pPr>
        <w:pStyle w:val="3"/>
        <w:spacing w:after="0"/>
        <w:jc w:val="center"/>
      </w:pPr>
      <w:bookmarkStart w:id="80" w:name="108"/>
      <w:bookmarkEnd w:id="79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1" w:name="109"/>
            <w:bookmarkEnd w:id="80"/>
            <w:r>
              <w:rPr>
                <w:rFonts w:ascii="Arial"/>
                <w:color w:val="000000"/>
                <w:sz w:val="15"/>
              </w:rPr>
              <w:t>НЦУ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2" w:name="110"/>
            <w:bookmarkEnd w:id="81"/>
            <w:r>
              <w:rPr>
                <w:rFonts w:ascii="Arial"/>
                <w:color w:val="000000"/>
                <w:sz w:val="15"/>
              </w:rPr>
              <w:t>Оператор</w:t>
            </w:r>
          </w:p>
        </w:tc>
        <w:bookmarkEnd w:id="82"/>
      </w:tr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3" w:name="11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4" w:name="112"/>
            <w:bookmarkEnd w:id="83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4"/>
      </w:tr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5" w:name="113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(IBAN)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6" w:name="114"/>
            <w:bookmarkEnd w:id="85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(IBAN)</w:t>
            </w:r>
          </w:p>
        </w:tc>
        <w:bookmarkEnd w:id="86"/>
      </w:tr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7" w:name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8" w:name="116"/>
            <w:bookmarkEnd w:id="87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8"/>
      </w:tr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89" w:name="117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90" w:name="118"/>
            <w:bookmarkEnd w:id="8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90"/>
      </w:tr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91" w:name="119"/>
            <w:r w:rsidRPr="00E93194">
              <w:rPr>
                <w:rFonts w:ascii="Arial"/>
                <w:color w:val="000000"/>
                <w:sz w:val="15"/>
                <w:lang w:val="ru-RU"/>
              </w:rPr>
              <w:lastRenderedPageBreak/>
              <w:t>_________________________________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gramStart"/>
            <w:r w:rsidRPr="00E93194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)   </w:t>
            </w:r>
            <w:proofErr w:type="gramEnd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      (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534665" w:rsidRPr="00E93194" w:rsidRDefault="00534665" w:rsidP="00DD338E">
            <w:pPr>
              <w:spacing w:after="0"/>
              <w:rPr>
                <w:lang w:val="ru-RU"/>
              </w:rPr>
            </w:pPr>
            <w:bookmarkStart w:id="92" w:name="137"/>
            <w:bookmarkEnd w:id="91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      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tc>
          <w:tcPr>
            <w:tcW w:w="4845" w:type="dxa"/>
            <w:vAlign w:val="center"/>
          </w:tcPr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93" w:name="120"/>
            <w:bookmarkEnd w:id="92"/>
            <w:r w:rsidRPr="00E93194">
              <w:rPr>
                <w:rFonts w:ascii="Arial"/>
                <w:color w:val="000000"/>
                <w:sz w:val="15"/>
                <w:lang w:val="ru-RU"/>
              </w:rPr>
              <w:t>_________________________________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(</w:t>
            </w:r>
            <w:proofErr w:type="gramStart"/>
            <w:r w:rsidRPr="00E93194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)   </w:t>
            </w:r>
            <w:proofErr w:type="gramEnd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       (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534665" w:rsidRDefault="00534665" w:rsidP="00DD338E">
            <w:pPr>
              <w:spacing w:after="0"/>
            </w:pPr>
            <w:bookmarkStart w:id="94" w:name="139"/>
            <w:bookmarkEnd w:id="93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   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4"/>
      </w:tr>
    </w:tbl>
    <w:p w:rsidR="00534665" w:rsidRDefault="00534665" w:rsidP="00534665">
      <w:r>
        <w:br/>
      </w:r>
    </w:p>
    <w:p w:rsidR="00534665" w:rsidRDefault="00534665" w:rsidP="00534665">
      <w:pPr>
        <w:spacing w:after="0"/>
        <w:ind w:firstLine="240"/>
      </w:pPr>
      <w:bookmarkStart w:id="95" w:name="1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534665" w:rsidTr="00DD338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96" w:name="124"/>
            <w:bookmarkEnd w:id="95"/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електронних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комунікацій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Адміністрації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Держспецзв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93194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  <w:jc w:val="center"/>
            </w:pPr>
            <w:bookmarkStart w:id="97" w:name="125"/>
            <w:bookmarkEnd w:id="96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ПОНОМАРЬОВ</w:t>
            </w:r>
          </w:p>
        </w:tc>
        <w:bookmarkEnd w:id="97"/>
      </w:tr>
    </w:tbl>
    <w:p w:rsidR="00534665" w:rsidRDefault="00534665" w:rsidP="00534665">
      <w:r>
        <w:br/>
      </w:r>
    </w:p>
    <w:p w:rsidR="00534665" w:rsidRDefault="00534665" w:rsidP="00534665">
      <w:pPr>
        <w:spacing w:after="0"/>
        <w:ind w:firstLine="240"/>
      </w:pPr>
      <w:bookmarkStart w:id="98" w:name="126"/>
      <w:r>
        <w:rPr>
          <w:rFonts w:ascii="Arial"/>
          <w:color w:val="000000"/>
          <w:sz w:val="18"/>
        </w:rPr>
        <w:t xml:space="preserve"> </w:t>
      </w:r>
    </w:p>
    <w:p w:rsidR="00534665" w:rsidRPr="00E93194" w:rsidRDefault="00534665" w:rsidP="00534665">
      <w:pPr>
        <w:spacing w:after="0"/>
        <w:ind w:firstLine="240"/>
        <w:jc w:val="right"/>
        <w:rPr>
          <w:lang w:val="ru-RU"/>
        </w:rPr>
      </w:pPr>
      <w:bookmarkStart w:id="99" w:name="127"/>
      <w:bookmarkEnd w:id="98"/>
      <w:r w:rsidRPr="00E93194">
        <w:rPr>
          <w:rFonts w:ascii="Arial"/>
          <w:color w:val="000000"/>
          <w:sz w:val="18"/>
          <w:lang w:val="ru-RU"/>
        </w:rPr>
        <w:t>Додаток</w:t>
      </w:r>
      <w:r w:rsidRPr="00E93194">
        <w:rPr>
          <w:lang w:val="ru-RU"/>
        </w:rPr>
        <w:br/>
      </w:r>
      <w:r w:rsidRPr="00E93194">
        <w:rPr>
          <w:rFonts w:ascii="Arial"/>
          <w:color w:val="000000"/>
          <w:sz w:val="18"/>
          <w:lang w:val="ru-RU"/>
        </w:rPr>
        <w:t>до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Типового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договору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про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взаємодію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постачальників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комунікаційних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та</w:t>
      </w:r>
      <w:r w:rsidRPr="00E93194">
        <w:rPr>
          <w:rFonts w:ascii="Arial"/>
          <w:color w:val="000000"/>
          <w:sz w:val="18"/>
          <w:lang w:val="ru-RU"/>
        </w:rPr>
        <w:t>/</w:t>
      </w:r>
      <w:r w:rsidRPr="00E93194">
        <w:rPr>
          <w:rFonts w:ascii="Arial"/>
          <w:color w:val="000000"/>
          <w:sz w:val="18"/>
          <w:lang w:val="ru-RU"/>
        </w:rPr>
        <w:t>або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послуг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з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Національним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центром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оперативно</w:t>
      </w:r>
      <w:r w:rsidRPr="00E93194">
        <w:rPr>
          <w:rFonts w:ascii="Arial"/>
          <w:color w:val="000000"/>
          <w:sz w:val="18"/>
          <w:lang w:val="ru-RU"/>
        </w:rPr>
        <w:t>-</w:t>
      </w:r>
      <w:r w:rsidRPr="00E93194">
        <w:rPr>
          <w:rFonts w:ascii="Arial"/>
          <w:color w:val="000000"/>
          <w:sz w:val="18"/>
          <w:lang w:val="ru-RU"/>
        </w:rPr>
        <w:t>технічного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управління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електронними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комунікаційними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 w:rsidRPr="00E93194">
        <w:rPr>
          <w:rFonts w:ascii="Arial"/>
          <w:color w:val="000000"/>
          <w:sz w:val="18"/>
          <w:lang w:val="ru-RU"/>
        </w:rPr>
        <w:t>мережами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93194">
        <w:rPr>
          <w:rFonts w:ascii="Arial"/>
          <w:color w:val="000000"/>
          <w:sz w:val="18"/>
          <w:lang w:val="ru-RU"/>
        </w:rPr>
        <w:t>України</w:t>
      </w:r>
      <w:r w:rsidRPr="00E93194">
        <w:rPr>
          <w:lang w:val="ru-RU"/>
        </w:rPr>
        <w:br/>
      </w:r>
      <w:r w:rsidRPr="00E93194">
        <w:rPr>
          <w:rFonts w:ascii="Arial"/>
          <w:color w:val="000000"/>
          <w:sz w:val="18"/>
          <w:lang w:val="ru-RU"/>
        </w:rPr>
        <w:t>(</w:t>
      </w:r>
      <w:proofErr w:type="gramEnd"/>
      <w:r w:rsidRPr="00E93194">
        <w:rPr>
          <w:rFonts w:ascii="Arial"/>
          <w:color w:val="000000"/>
          <w:sz w:val="18"/>
          <w:lang w:val="ru-RU"/>
        </w:rPr>
        <w:t>підпункт</w:t>
      </w:r>
      <w:r w:rsidRPr="00E93194">
        <w:rPr>
          <w:rFonts w:ascii="Arial"/>
          <w:color w:val="000000"/>
          <w:sz w:val="18"/>
          <w:lang w:val="ru-RU"/>
        </w:rPr>
        <w:t xml:space="preserve"> 7 </w:t>
      </w:r>
      <w:r w:rsidRPr="00E93194">
        <w:rPr>
          <w:rFonts w:ascii="Arial"/>
          <w:color w:val="000000"/>
          <w:sz w:val="18"/>
          <w:lang w:val="ru-RU"/>
        </w:rPr>
        <w:t>пункту</w:t>
      </w:r>
      <w:r w:rsidRPr="00E93194">
        <w:rPr>
          <w:rFonts w:ascii="Arial"/>
          <w:color w:val="000000"/>
          <w:sz w:val="18"/>
          <w:lang w:val="ru-RU"/>
        </w:rPr>
        <w:t xml:space="preserve"> 2 </w:t>
      </w:r>
      <w:r w:rsidRPr="00E93194">
        <w:rPr>
          <w:rFonts w:ascii="Arial"/>
          <w:color w:val="000000"/>
          <w:sz w:val="18"/>
          <w:lang w:val="ru-RU"/>
        </w:rPr>
        <w:t>розділу</w:t>
      </w:r>
      <w:r w:rsidRPr="00E9319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E93194">
        <w:rPr>
          <w:rFonts w:ascii="Arial"/>
          <w:color w:val="000000"/>
          <w:sz w:val="18"/>
          <w:lang w:val="ru-RU"/>
        </w:rPr>
        <w:t>)</w:t>
      </w:r>
    </w:p>
    <w:p w:rsidR="00534665" w:rsidRPr="00E93194" w:rsidRDefault="00534665" w:rsidP="00534665">
      <w:pPr>
        <w:pStyle w:val="3"/>
        <w:spacing w:after="0"/>
        <w:jc w:val="center"/>
        <w:rPr>
          <w:lang w:val="ru-RU"/>
        </w:rPr>
      </w:pPr>
      <w:bookmarkStart w:id="100" w:name="128"/>
      <w:bookmarkEnd w:id="99"/>
      <w:r w:rsidRPr="00E93194">
        <w:rPr>
          <w:rFonts w:ascii="Arial"/>
          <w:color w:val="000000"/>
          <w:sz w:val="27"/>
          <w:lang w:val="ru-RU"/>
        </w:rPr>
        <w:t>Схема</w:t>
      </w:r>
      <w:r w:rsidRPr="00E93194">
        <w:rPr>
          <w:lang w:val="ru-RU"/>
        </w:rPr>
        <w:br/>
      </w:r>
      <w:r w:rsidRPr="00E93194">
        <w:rPr>
          <w:rFonts w:ascii="Arial"/>
          <w:color w:val="000000"/>
          <w:sz w:val="27"/>
          <w:lang w:val="ru-RU"/>
        </w:rPr>
        <w:t>з</w:t>
      </w:r>
      <w:r w:rsidRPr="00E93194">
        <w:rPr>
          <w:rFonts w:ascii="Arial"/>
          <w:color w:val="000000"/>
          <w:sz w:val="27"/>
          <w:lang w:val="ru-RU"/>
        </w:rPr>
        <w:t>'</w:t>
      </w:r>
      <w:r w:rsidRPr="00E93194">
        <w:rPr>
          <w:rFonts w:ascii="Arial"/>
          <w:color w:val="000000"/>
          <w:sz w:val="27"/>
          <w:lang w:val="ru-RU"/>
        </w:rPr>
        <w:t>єднання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центру</w:t>
      </w:r>
      <w:r w:rsidRPr="00E93194">
        <w:rPr>
          <w:rFonts w:ascii="Arial"/>
          <w:color w:val="000000"/>
          <w:sz w:val="27"/>
          <w:lang w:val="ru-RU"/>
        </w:rPr>
        <w:t xml:space="preserve"> (</w:t>
      </w:r>
      <w:r w:rsidRPr="00E93194">
        <w:rPr>
          <w:rFonts w:ascii="Arial"/>
          <w:color w:val="000000"/>
          <w:sz w:val="27"/>
          <w:lang w:val="ru-RU"/>
        </w:rPr>
        <w:t>центрів</w:t>
      </w:r>
      <w:r w:rsidRPr="00E93194">
        <w:rPr>
          <w:rFonts w:ascii="Arial"/>
          <w:color w:val="000000"/>
          <w:sz w:val="27"/>
          <w:lang w:val="ru-RU"/>
        </w:rPr>
        <w:t xml:space="preserve">) </w:t>
      </w:r>
      <w:r w:rsidRPr="00E93194">
        <w:rPr>
          <w:rFonts w:ascii="Arial"/>
          <w:color w:val="000000"/>
          <w:sz w:val="27"/>
          <w:lang w:val="ru-RU"/>
        </w:rPr>
        <w:t>управління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мережею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оператора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з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основним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і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резервним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пунктами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управління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НЦУ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для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забезпечення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оперативно</w:t>
      </w:r>
      <w:r w:rsidRPr="00E93194">
        <w:rPr>
          <w:rFonts w:ascii="Arial"/>
          <w:color w:val="000000"/>
          <w:sz w:val="27"/>
          <w:lang w:val="ru-RU"/>
        </w:rPr>
        <w:t>-</w:t>
      </w:r>
      <w:r w:rsidRPr="00E93194">
        <w:rPr>
          <w:rFonts w:ascii="Arial"/>
          <w:color w:val="000000"/>
          <w:sz w:val="27"/>
          <w:lang w:val="ru-RU"/>
        </w:rPr>
        <w:t>технічного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управління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електронними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комунікаційними</w:t>
      </w:r>
      <w:r w:rsidRPr="00E93194">
        <w:rPr>
          <w:rFonts w:ascii="Arial"/>
          <w:color w:val="000000"/>
          <w:sz w:val="27"/>
          <w:lang w:val="ru-RU"/>
        </w:rPr>
        <w:t xml:space="preserve"> </w:t>
      </w:r>
      <w:r w:rsidRPr="00E93194">
        <w:rPr>
          <w:rFonts w:ascii="Arial"/>
          <w:color w:val="000000"/>
          <w:sz w:val="27"/>
          <w:lang w:val="ru-RU"/>
        </w:rPr>
        <w:t>мережами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534665" w:rsidRPr="00E93194" w:rsidTr="00DD338E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1" w:name="129"/>
            <w:bookmarkEnd w:id="100"/>
          </w:p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2" w:name="149"/>
            <w:bookmarkEnd w:id="101"/>
          </w:p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3" w:name="147"/>
            <w:bookmarkEnd w:id="102"/>
          </w:p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4" w:name="145"/>
            <w:bookmarkEnd w:id="103"/>
          </w:p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5" w:name="143"/>
            <w:bookmarkEnd w:id="104"/>
          </w:p>
          <w:p w:rsidR="00534665" w:rsidRPr="00E93194" w:rsidRDefault="00534665" w:rsidP="00DD338E">
            <w:pPr>
              <w:spacing w:after="0"/>
              <w:jc w:val="center"/>
              <w:rPr>
                <w:lang w:val="ru-RU"/>
              </w:rPr>
            </w:pPr>
            <w:bookmarkStart w:id="106" w:name="141"/>
            <w:bookmarkEnd w:id="105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6"/>
      </w:tr>
    </w:tbl>
    <w:p w:rsidR="00534665" w:rsidRPr="00E93194" w:rsidRDefault="00534665" w:rsidP="00534665">
      <w:pPr>
        <w:rPr>
          <w:lang w:val="ru-RU"/>
        </w:rPr>
      </w:pPr>
      <w:r w:rsidRPr="00E9319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534665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</w:pPr>
            <w:bookmarkStart w:id="107" w:name="130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НЦУ</w:t>
            </w:r>
          </w:p>
          <w:p w:rsidR="00534665" w:rsidRDefault="00534665" w:rsidP="00DD338E">
            <w:pPr>
              <w:spacing w:after="0"/>
            </w:pPr>
            <w:bookmarkStart w:id="108" w:name="151"/>
            <w:bookmarkEnd w:id="107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534665" w:rsidRDefault="00534665" w:rsidP="00DD338E">
            <w:pPr>
              <w:spacing w:after="0"/>
            </w:pPr>
            <w:bookmarkStart w:id="109" w:name="131"/>
            <w:bookmarkEnd w:id="108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</w:p>
          <w:p w:rsidR="00534665" w:rsidRDefault="00534665" w:rsidP="00DD338E">
            <w:pPr>
              <w:spacing w:after="0"/>
            </w:pPr>
            <w:bookmarkStart w:id="110" w:name="153"/>
            <w:bookmarkEnd w:id="10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0"/>
      </w:tr>
      <w:tr w:rsidR="00534665" w:rsidRPr="00E93194" w:rsidTr="00DD338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34665" w:rsidRPr="00E93194" w:rsidRDefault="00534665" w:rsidP="00DD338E">
            <w:pPr>
              <w:spacing w:after="0"/>
              <w:rPr>
                <w:lang w:val="ru-RU"/>
              </w:rPr>
            </w:pPr>
            <w:bookmarkStart w:id="111" w:name="132"/>
            <w:r w:rsidRPr="00E93194">
              <w:rPr>
                <w:rFonts w:ascii="Arial"/>
                <w:color w:val="000000"/>
                <w:sz w:val="15"/>
                <w:lang w:val="ru-RU"/>
              </w:rPr>
              <w:t>__________________________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</w:t>
            </w:r>
            <w:proofErr w:type="gramStart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(</w:t>
            </w:r>
            <w:proofErr w:type="gramEnd"/>
            <w:r w:rsidRPr="00E93194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534665" w:rsidRPr="00E93194" w:rsidRDefault="00534665" w:rsidP="00DD338E">
            <w:pPr>
              <w:spacing w:after="0"/>
              <w:rPr>
                <w:lang w:val="ru-RU"/>
              </w:rPr>
            </w:pPr>
            <w:bookmarkStart w:id="112" w:name="155"/>
            <w:bookmarkEnd w:id="111"/>
            <w:r w:rsidRPr="00E93194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tc>
          <w:tcPr>
            <w:tcW w:w="4845" w:type="dxa"/>
            <w:vAlign w:val="center"/>
          </w:tcPr>
          <w:p w:rsidR="00534665" w:rsidRPr="00E93194" w:rsidRDefault="00534665" w:rsidP="00DD338E">
            <w:pPr>
              <w:spacing w:after="0"/>
              <w:rPr>
                <w:lang w:val="ru-RU"/>
              </w:rPr>
            </w:pPr>
            <w:bookmarkStart w:id="113" w:name="133"/>
            <w:bookmarkEnd w:id="112"/>
            <w:r w:rsidRPr="00E93194">
              <w:rPr>
                <w:rFonts w:ascii="Arial"/>
                <w:color w:val="000000"/>
                <w:sz w:val="15"/>
                <w:lang w:val="ru-RU"/>
              </w:rPr>
              <w:t>__________________________</w:t>
            </w:r>
            <w:r w:rsidRPr="00E93194">
              <w:rPr>
                <w:lang w:val="ru-RU"/>
              </w:rPr>
              <w:br/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  </w:t>
            </w:r>
            <w:proofErr w:type="gramStart"/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  (</w:t>
            </w:r>
            <w:proofErr w:type="gramEnd"/>
            <w:r w:rsidRPr="00E93194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534665" w:rsidRPr="00E93194" w:rsidRDefault="00534665" w:rsidP="00DD338E">
            <w:pPr>
              <w:spacing w:after="0"/>
              <w:rPr>
                <w:lang w:val="ru-RU"/>
              </w:rPr>
            </w:pPr>
            <w:bookmarkStart w:id="114" w:name="157"/>
            <w:bookmarkEnd w:id="113"/>
            <w:r w:rsidRPr="00E93194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. (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E9319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4"/>
      </w:tr>
    </w:tbl>
    <w:p w:rsidR="00534665" w:rsidRPr="00E93194" w:rsidRDefault="00534665" w:rsidP="00534665">
      <w:pPr>
        <w:rPr>
          <w:lang w:val="ru-RU"/>
        </w:rPr>
      </w:pPr>
      <w:r w:rsidRPr="00E93194">
        <w:rPr>
          <w:lang w:val="ru-RU"/>
        </w:rPr>
        <w:br/>
      </w:r>
      <w:r w:rsidRPr="00E93194">
        <w:rPr>
          <w:lang w:val="ru-RU"/>
        </w:rPr>
        <w:br/>
      </w:r>
    </w:p>
    <w:p w:rsidR="00E85B23" w:rsidRPr="00534665" w:rsidRDefault="00E85B23">
      <w:pPr>
        <w:rPr>
          <w:lang w:val="ru-RU"/>
        </w:rPr>
      </w:pPr>
      <w:bookmarkStart w:id="115" w:name="_GoBack"/>
      <w:bookmarkEnd w:id="115"/>
    </w:p>
    <w:sectPr w:rsidR="00E85B23" w:rsidRPr="005346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65"/>
    <w:rsid w:val="00534665"/>
    <w:rsid w:val="00E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283E7-8750-4803-A108-0E375EBF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65"/>
    <w:pPr>
      <w:spacing w:after="200" w:line="276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4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6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2023-07-05T08:23:00Z</dcterms:created>
  <dcterms:modified xsi:type="dcterms:W3CDTF">2023-07-05T08:25:00Z</dcterms:modified>
</cp:coreProperties>
</file>